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DC" w:rsidRPr="00EA3C22" w:rsidRDefault="00374EDC" w:rsidP="00374ED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3C2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Анализ итогов краевых диагностических работ </w:t>
      </w:r>
    </w:p>
    <w:p w:rsidR="00374EDC" w:rsidRPr="00EA3C22" w:rsidRDefault="00374EDC" w:rsidP="00374E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C22">
        <w:rPr>
          <w:rFonts w:ascii="Times New Roman" w:eastAsia="Calibri" w:hAnsi="Times New Roman" w:cs="Times New Roman"/>
          <w:sz w:val="24"/>
          <w:szCs w:val="24"/>
          <w:u w:val="single"/>
        </w:rPr>
        <w:t>Цель анализа</w:t>
      </w:r>
      <w:r w:rsidRPr="00EA3C22">
        <w:rPr>
          <w:rFonts w:ascii="Times New Roman" w:eastAsia="Calibri" w:hAnsi="Times New Roman" w:cs="Times New Roman"/>
          <w:sz w:val="24"/>
          <w:szCs w:val="24"/>
        </w:rPr>
        <w:t xml:space="preserve">: определить проблемы при проведении и оценивании КДР, повысить уровень объективности проведения и проверки  диагностических процедур.  </w:t>
      </w:r>
    </w:p>
    <w:p w:rsidR="00374EDC" w:rsidRPr="00EA3C22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C22">
        <w:rPr>
          <w:rFonts w:ascii="Times New Roman" w:eastAsia="Calibri" w:hAnsi="Times New Roman" w:cs="Times New Roman"/>
          <w:sz w:val="24"/>
          <w:szCs w:val="24"/>
        </w:rPr>
        <w:t>Краевые диагностические работы (далее КДР) проводились в сроки, установленные нормативными документами  министерства образования Красноярского края. В этом учебном году были проведены 4 краевые диагностические работы – две в 4 классе, в 6 и 8 классах.</w:t>
      </w:r>
    </w:p>
    <w:p w:rsidR="00374EDC" w:rsidRPr="00EA3C22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C22">
        <w:rPr>
          <w:rFonts w:ascii="Times New Roman" w:eastAsia="Calibri" w:hAnsi="Times New Roman" w:cs="Times New Roman"/>
          <w:sz w:val="24"/>
          <w:szCs w:val="24"/>
        </w:rPr>
        <w:t>С целью организованного проведения КДР в Богучанском районе, повышения уровня объективности при провдении и проверки работ,  20.11.2023 г состоялось совещание с ответственными за проведение КДР  в ОУ. На совещании рассматривались вопросы объективного проведения процедуры, объективного оценивания, рассматривались ошибки, допущенные при проведении и оценивании КДР в прошлом учебном году, а также были поставлены задачи для школ.</w:t>
      </w:r>
    </w:p>
    <w:p w:rsidR="00374EDC" w:rsidRPr="00EA3C22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C22">
        <w:rPr>
          <w:rFonts w:ascii="Times New Roman" w:eastAsia="Calibri" w:hAnsi="Times New Roman" w:cs="Times New Roman"/>
          <w:sz w:val="24"/>
          <w:szCs w:val="24"/>
        </w:rPr>
        <w:t>В этом году, как и в прошлом,  управлением образования было принято решение о выборочной перекрестной проверке КДР, поэтому  в каждой школе была создана комиссия для проверки работ учащихся других школ. КДР учащихся  некоторых проверялись двумя комиссиями – комиссией своей школы и комиссией другой школы, в случае расхождения в  выставленных баллах,  вопросы проверялись третьим экспертом</w:t>
      </w:r>
      <w:r>
        <w:rPr>
          <w:rFonts w:ascii="Times New Roman" w:eastAsia="Calibri" w:hAnsi="Times New Roman" w:cs="Times New Roman"/>
          <w:sz w:val="24"/>
          <w:szCs w:val="24"/>
        </w:rPr>
        <w:t>, в соответствии с Порядком проведения.</w:t>
      </w:r>
    </w:p>
    <w:p w:rsidR="00374EDC" w:rsidRPr="00DA6D82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74EDC" w:rsidRPr="008C2F3D" w:rsidRDefault="00374EDC" w:rsidP="00374ED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2F3D">
        <w:rPr>
          <w:rFonts w:ascii="Times New Roman" w:eastAsia="Calibri" w:hAnsi="Times New Roman" w:cs="Times New Roman"/>
          <w:b/>
          <w:sz w:val="24"/>
          <w:szCs w:val="24"/>
        </w:rPr>
        <w:t>КДР 6 по читательской грамотности</w:t>
      </w:r>
    </w:p>
    <w:tbl>
      <w:tblPr>
        <w:tblW w:w="8789" w:type="dxa"/>
        <w:tblInd w:w="108" w:type="dxa"/>
        <w:tblLook w:val="04A0"/>
      </w:tblPr>
      <w:tblGrid>
        <w:gridCol w:w="1781"/>
        <w:gridCol w:w="3586"/>
        <w:gridCol w:w="1987"/>
        <w:gridCol w:w="1068"/>
        <w:gridCol w:w="367"/>
      </w:tblGrid>
      <w:tr w:rsidR="00374EDC" w:rsidRPr="00165690" w:rsidTr="000C16BC">
        <w:trPr>
          <w:gridAfter w:val="1"/>
          <w:wAfter w:w="367" w:type="dxa"/>
          <w:trHeight w:val="210"/>
        </w:trPr>
        <w:tc>
          <w:tcPr>
            <w:tcW w:w="8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EDC" w:rsidRPr="00165690" w:rsidRDefault="00374EDC" w:rsidP="000C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В диагностической работе по читательской грамотности для 6-х классов приняли участие 445 обучающихся Богучанского района.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проводилась 23 ноября 2023 г.</w:t>
            </w:r>
          </w:p>
        </w:tc>
      </w:tr>
      <w:tr w:rsidR="00374EDC" w:rsidRPr="00165690" w:rsidTr="000C16BC">
        <w:trPr>
          <w:gridAfter w:val="1"/>
          <w:wAfter w:w="367" w:type="dxa"/>
          <w:trHeight w:val="214"/>
        </w:trPr>
        <w:tc>
          <w:tcPr>
            <w:tcW w:w="8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EDC" w:rsidRPr="00FD63E2" w:rsidRDefault="00374EDC" w:rsidP="000C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Основные результаты по муниципальному образованию приведены в сопоставлении с данными по региону, полученными на представительной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 </w:t>
            </w:r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выборке.</w:t>
            </w:r>
          </w:p>
          <w:p w:rsidR="00374EDC" w:rsidRPr="00165690" w:rsidRDefault="00374EDC" w:rsidP="000C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EDC" w:rsidRPr="00165690" w:rsidTr="000C16BC">
        <w:trPr>
          <w:trHeight w:val="287"/>
        </w:trPr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9639D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Основные результаты выполнения диагностической работы по читательской грамотности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9639D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Среднее значение по муниципальному образованию (%)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9639D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Среднее значение по краю (%)</w:t>
            </w:r>
          </w:p>
        </w:tc>
      </w:tr>
      <w:tr w:rsidR="00374EDC" w:rsidRPr="00165690" w:rsidTr="000C16BC">
        <w:trPr>
          <w:trHeight w:val="116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5FA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выполнения (% от максимального балла)</w:t>
            </w:r>
          </w:p>
        </w:tc>
      </w:tr>
      <w:tr w:rsidR="00374EDC" w:rsidRPr="00165690" w:rsidTr="000C16BC">
        <w:trPr>
          <w:trHeight w:val="90"/>
        </w:trPr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работы (балл по 100-балльной шкале)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54,85</w:t>
            </w:r>
          </w:p>
        </w:tc>
      </w:tr>
      <w:tr w:rsidR="00374EDC" w:rsidRPr="00165690" w:rsidTr="000C16BC">
        <w:trPr>
          <w:trHeight w:val="99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группам умений (% максимального балла)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понимание и ориентация в тексте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54,10%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56,01%</w:t>
            </w:r>
          </w:p>
        </w:tc>
      </w:tr>
      <w:tr w:rsidR="00374EDC" w:rsidRPr="00165690" w:rsidTr="000C16BC">
        <w:trPr>
          <w:trHeight w:val="193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50,41%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43,17%</w:t>
            </w:r>
          </w:p>
        </w:tc>
      </w:tr>
      <w:tr w:rsidR="00374EDC" w:rsidRPr="00165690" w:rsidTr="000C16BC">
        <w:trPr>
          <w:trHeight w:val="2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информации из текста для различных целей, осмысление и оценка содержания и формы текста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34,63%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33,80%</w:t>
            </w:r>
          </w:p>
        </w:tc>
      </w:tr>
      <w:tr w:rsidR="00374EDC" w:rsidRPr="00165690" w:rsidTr="000C16BC">
        <w:trPr>
          <w:trHeight w:val="99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предметным областям (% от максимального балла)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E15"/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38,53%</w:t>
            </w:r>
            <w:bookmarkEnd w:id="0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43,92%</w:t>
            </w:r>
          </w:p>
        </w:tc>
      </w:tr>
      <w:tr w:rsidR="00374EDC" w:rsidRPr="00165690" w:rsidTr="000C16BC">
        <w:trPr>
          <w:trHeight w:val="99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43,26%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38,68%</w:t>
            </w:r>
          </w:p>
        </w:tc>
      </w:tr>
      <w:tr w:rsidR="00374EDC" w:rsidRPr="00165690" w:rsidTr="000C16BC">
        <w:trPr>
          <w:trHeight w:val="99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E17"/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41,81%</w:t>
            </w:r>
            <w:bookmarkEnd w:id="1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42,58%</w:t>
            </w:r>
          </w:p>
        </w:tc>
      </w:tr>
      <w:tr w:rsidR="00374EDC" w:rsidRPr="00165690" w:rsidTr="000C16BC">
        <w:trPr>
          <w:trHeight w:val="99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E18"/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52,80%</w:t>
            </w:r>
            <w:bookmarkEnd w:id="2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49,52%</w:t>
            </w:r>
          </w:p>
        </w:tc>
      </w:tr>
      <w:tr w:rsidR="00374EDC" w:rsidRPr="00165690" w:rsidTr="000C16BC">
        <w:trPr>
          <w:trHeight w:val="111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5FA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4EDC" w:rsidRPr="00165690" w:rsidTr="000C16BC">
        <w:trPr>
          <w:trHeight w:val="111"/>
        </w:trPr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Преодолели границу пониженного (порогового) уровня (% учащихся)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E20"/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81,12%</w:t>
            </w:r>
            <w:bookmarkEnd w:id="3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81,02%</w:t>
            </w:r>
          </w:p>
        </w:tc>
      </w:tr>
      <w:tr w:rsidR="00374EDC" w:rsidRPr="00165690" w:rsidTr="000C16BC">
        <w:trPr>
          <w:trHeight w:val="116"/>
        </w:trPr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DC" w:rsidRPr="001656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Достигли повышенного уровня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E21"/>
            <w:r w:rsidRPr="0016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4,94%</w:t>
            </w:r>
            <w:bookmarkEnd w:id="4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DC" w:rsidRPr="001656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8,73%</w:t>
            </w:r>
          </w:p>
        </w:tc>
      </w:tr>
    </w:tbl>
    <w:p w:rsidR="00374EDC" w:rsidRPr="00FD63E2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374EDC" w:rsidRPr="00FD63E2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374EDC" w:rsidRPr="00FD63E2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FF0000"/>
        </w:rPr>
      </w:pPr>
      <w:r w:rsidRPr="00FD63E2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5400675" cy="1468199"/>
            <wp:effectExtent l="0" t="0" r="0" b="0"/>
            <wp:docPr id="4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74EDC" w:rsidRPr="00FD63E2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374EDC" w:rsidRPr="00FD63E2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FF0000"/>
        </w:rPr>
      </w:pPr>
    </w:p>
    <w:tbl>
      <w:tblPr>
        <w:tblW w:w="948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2020"/>
        <w:gridCol w:w="2069"/>
        <w:gridCol w:w="1757"/>
        <w:gridCol w:w="1757"/>
      </w:tblGrid>
      <w:tr w:rsidR="00374EDC" w:rsidRPr="00383769" w:rsidTr="000C16BC">
        <w:trPr>
          <w:trHeight w:val="767"/>
        </w:trPr>
        <w:tc>
          <w:tcPr>
            <w:tcW w:w="1883" w:type="dxa"/>
            <w:vMerge w:val="restart"/>
            <w:shd w:val="clear" w:color="000000" w:fill="39639D"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837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3" w:type="dxa"/>
            <w:gridSpan w:val="4"/>
            <w:shd w:val="clear" w:color="000000" w:fill="39639D"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837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Уровни читательской грамотности (% учащихся, результаты которых соответствуют данному уровню достижений)</w:t>
            </w:r>
          </w:p>
        </w:tc>
      </w:tr>
      <w:tr w:rsidR="00374EDC" w:rsidRPr="00383769" w:rsidTr="000C16BC">
        <w:trPr>
          <w:trHeight w:val="451"/>
        </w:trPr>
        <w:tc>
          <w:tcPr>
            <w:tcW w:w="1883" w:type="dxa"/>
            <w:vMerge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000000" w:fill="39639D"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837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069" w:type="dxa"/>
            <w:shd w:val="clear" w:color="000000" w:fill="39639D"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837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Пониженный (пороговый)</w:t>
            </w:r>
          </w:p>
        </w:tc>
        <w:tc>
          <w:tcPr>
            <w:tcW w:w="1757" w:type="dxa"/>
            <w:shd w:val="clear" w:color="000000" w:fill="39639D"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837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57" w:type="dxa"/>
            <w:shd w:val="clear" w:color="000000" w:fill="39639D"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8376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Повышенный</w:t>
            </w:r>
          </w:p>
        </w:tc>
      </w:tr>
      <w:tr w:rsidR="00374EDC" w:rsidRPr="00383769" w:rsidTr="000C16BC">
        <w:trPr>
          <w:trHeight w:val="970"/>
        </w:trPr>
        <w:tc>
          <w:tcPr>
            <w:tcW w:w="1883" w:type="dxa"/>
            <w:shd w:val="clear" w:color="000000" w:fill="FFFFFF"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(%)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RANGE!C43"/>
            <w:r w:rsidRPr="0038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18,88%</w:t>
            </w:r>
            <w:bookmarkEnd w:id="5"/>
          </w:p>
        </w:tc>
        <w:tc>
          <w:tcPr>
            <w:tcW w:w="2069" w:type="dxa"/>
            <w:shd w:val="clear" w:color="000000" w:fill="FFFFFF"/>
            <w:noWrap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RANGE!D43"/>
            <w:r w:rsidRPr="0038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33,26%</w:t>
            </w:r>
            <w:bookmarkEnd w:id="6"/>
          </w:p>
        </w:tc>
        <w:tc>
          <w:tcPr>
            <w:tcW w:w="1757" w:type="dxa"/>
            <w:shd w:val="clear" w:color="000000" w:fill="FFFFFF"/>
            <w:noWrap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RANGE!E43"/>
            <w:r w:rsidRPr="0038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42,92%</w:t>
            </w:r>
            <w:bookmarkEnd w:id="7"/>
          </w:p>
        </w:tc>
        <w:tc>
          <w:tcPr>
            <w:tcW w:w="1757" w:type="dxa"/>
            <w:shd w:val="clear" w:color="000000" w:fill="FFFFFF"/>
            <w:noWrap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RANGE!F43"/>
            <w:r w:rsidRPr="0038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4,94%</w:t>
            </w:r>
            <w:bookmarkEnd w:id="8"/>
          </w:p>
        </w:tc>
      </w:tr>
      <w:tr w:rsidR="00374EDC" w:rsidRPr="00383769" w:rsidTr="000C16BC">
        <w:trPr>
          <w:trHeight w:val="609"/>
        </w:trPr>
        <w:tc>
          <w:tcPr>
            <w:tcW w:w="1883" w:type="dxa"/>
            <w:shd w:val="clear" w:color="000000" w:fill="FFFFFF"/>
            <w:noWrap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 (%)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18,97%</w:t>
            </w:r>
          </w:p>
        </w:tc>
        <w:tc>
          <w:tcPr>
            <w:tcW w:w="2069" w:type="dxa"/>
            <w:shd w:val="clear" w:color="000000" w:fill="FFFFFF"/>
            <w:noWrap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30,17%</w:t>
            </w:r>
          </w:p>
        </w:tc>
        <w:tc>
          <w:tcPr>
            <w:tcW w:w="1757" w:type="dxa"/>
            <w:shd w:val="clear" w:color="000000" w:fill="FFFFFF"/>
            <w:noWrap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42,13%</w:t>
            </w:r>
          </w:p>
        </w:tc>
        <w:tc>
          <w:tcPr>
            <w:tcW w:w="1757" w:type="dxa"/>
            <w:shd w:val="clear" w:color="000000" w:fill="FFFFFF"/>
            <w:noWrap/>
            <w:vAlign w:val="center"/>
            <w:hideMark/>
          </w:tcPr>
          <w:p w:rsidR="00374EDC" w:rsidRPr="00383769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8,73%</w:t>
            </w:r>
          </w:p>
        </w:tc>
      </w:tr>
    </w:tbl>
    <w:p w:rsidR="00374EDC" w:rsidRPr="00FD63E2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374EDC" w:rsidRPr="00FD63E2" w:rsidRDefault="00374EDC" w:rsidP="00374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Освоение основных умений характеризуется не только средними значениями, но и разбросом индивидуальных результатов.  По соотношению </w:t>
      </w:r>
      <w:r w:rsidRPr="00FD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</w:t>
      </w:r>
      <w:r w:rsidRPr="005A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и </w:t>
      </w:r>
      <w:r w:rsidRPr="00FD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</w:t>
      </w:r>
      <w:r w:rsidRPr="005A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судить о том, чем отличается распределение результатов в муниципальной системе от ситуации в среднем по краю. </w:t>
      </w:r>
      <w:r w:rsidRPr="00FD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показывают значительный разброс результатов, что говорит о том, что образовательные практики в разных классах очень отличаются, нет разработанных подходов к формированию результатов нового типа.</w:t>
      </w:r>
    </w:p>
    <w:p w:rsidR="00374EDC" w:rsidRPr="00FD63E2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D63E2">
        <w:rPr>
          <w:rFonts w:ascii="Times New Roman" w:hAnsi="Times New Roman" w:cs="Times New Roman"/>
          <w:color w:val="auto"/>
        </w:rPr>
        <w:t>В целом по району лучше всего освоена первая группа читательских умений (поиск информации, общее понимание текста), хуже всего - третья группа (применение информации из текста для различных целей, осмысление и оценка содержания и формы текста). Наиболее трудными в 2023-24 учебном году оказались задания по математике,  самыми легкими – задания на материале текстов по русскому языку.</w:t>
      </w:r>
    </w:p>
    <w:p w:rsidR="00374EDC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Из представленной ниже диаграммы № 1, можно сделать вывод:</w:t>
      </w:r>
    </w:p>
    <w:p w:rsidR="00374EDC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Результаты значительно выше ожидаемых продемонстрировали обучающиеся МКОУ Такучетской школы.</w:t>
      </w:r>
    </w:p>
    <w:p w:rsidR="00374EDC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Результаты ожидаемые показали обучающиеся МКОУ Нижнетерянской, Невонской, Богучанской школы № 1 им. К.И.Безруких.</w:t>
      </w:r>
    </w:p>
    <w:p w:rsidR="00374EDC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Ниже ожидаемых результатов у обучающихся всех остальных школ. Самый низкий результат в крае у обучающихся МКОУ Богучанской школы № 3.</w:t>
      </w:r>
    </w:p>
    <w:p w:rsidR="00374EDC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Данные из диаграммы  по прежнему говорят нам о том, что в школах, результаты которых отклоняются от линии, а процедура проведения, либо проверки работ обучающихся проводится необъективно.</w:t>
      </w:r>
    </w:p>
    <w:p w:rsidR="00374EDC" w:rsidRPr="007926F8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374EDC" w:rsidRPr="00596698" w:rsidRDefault="00374EDC" w:rsidP="00374ED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6698">
        <w:rPr>
          <w:rFonts w:ascii="Times New Roman" w:hAnsi="Times New Roman" w:cs="Times New Roman"/>
        </w:rPr>
        <w:t xml:space="preserve">              </w:t>
      </w:r>
      <w:r w:rsidRPr="00596698">
        <w:rPr>
          <w:rFonts w:ascii="Times New Roman" w:eastAsia="Calibri" w:hAnsi="Times New Roman" w:cs="Times New Roman"/>
          <w:sz w:val="24"/>
          <w:szCs w:val="24"/>
          <w:u w:val="single"/>
        </w:rPr>
        <w:t>Диаграмма № 1</w:t>
      </w:r>
    </w:p>
    <w:p w:rsidR="00374EDC" w:rsidRPr="007926F8" w:rsidRDefault="00374EDC" w:rsidP="00374EDC">
      <w:pPr>
        <w:pStyle w:val="Default"/>
        <w:ind w:firstLine="709"/>
        <w:jc w:val="right"/>
        <w:rPr>
          <w:rFonts w:ascii="Times New Roman" w:hAnsi="Times New Roman" w:cs="Times New Roman"/>
          <w:color w:val="auto"/>
        </w:rPr>
      </w:pPr>
      <w:r w:rsidRPr="004A01E5">
        <w:rPr>
          <w:rFonts w:ascii="Times New Roman" w:hAnsi="Times New Roman" w:cs="Times New Roman"/>
          <w:noProof/>
          <w:color w:val="auto"/>
          <w:sz w:val="22"/>
          <w:szCs w:val="22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90.1pt;margin-top:233.3pt;width:105.4pt;height:17.65pt;z-index:251668480;mso-width-relative:margin;mso-height-relative:margin">
            <v:textbox>
              <w:txbxContent>
                <w:p w:rsidR="00374EDC" w:rsidRPr="00F94AE1" w:rsidRDefault="00374EDC" w:rsidP="00374EDC">
                  <w:pPr>
                    <w:rPr>
                      <w:sz w:val="16"/>
                      <w:szCs w:val="16"/>
                    </w:rPr>
                  </w:pPr>
                  <w:r w:rsidRPr="00F94AE1">
                    <w:rPr>
                      <w:sz w:val="16"/>
                      <w:szCs w:val="16"/>
                    </w:rPr>
                    <w:t xml:space="preserve">МКОУ </w:t>
                  </w:r>
                  <w:r>
                    <w:rPr>
                      <w:sz w:val="16"/>
                      <w:szCs w:val="16"/>
                    </w:rPr>
                    <w:t>Хребтовская школа</w:t>
                  </w:r>
                </w:p>
              </w:txbxContent>
            </v:textbox>
          </v:shape>
        </w:pict>
      </w:r>
      <w:r w:rsidRPr="004A01E5">
        <w:rPr>
          <w:rFonts w:ascii="Times New Roman" w:hAnsi="Times New Roman" w:cs="Times New Roman"/>
          <w:noProof/>
          <w:color w:val="auto"/>
          <w:sz w:val="22"/>
          <w:szCs w:val="22"/>
          <w:lang w:eastAsia="ru-RU"/>
        </w:rPr>
        <w:pict>
          <v:shape id="_x0000_s1035" type="#_x0000_t202" style="position:absolute;left:0;text-align:left;margin-left:164.5pt;margin-top:312.85pt;width:131pt;height:17.65pt;z-index:251669504;mso-width-relative:margin;mso-height-relative:margin">
            <v:textbox>
              <w:txbxContent>
                <w:p w:rsidR="00374EDC" w:rsidRPr="00F94AE1" w:rsidRDefault="00374EDC" w:rsidP="00374EDC">
                  <w:pPr>
                    <w:rPr>
                      <w:sz w:val="16"/>
                      <w:szCs w:val="16"/>
                    </w:rPr>
                  </w:pPr>
                  <w:r w:rsidRPr="00F94AE1">
                    <w:rPr>
                      <w:sz w:val="16"/>
                      <w:szCs w:val="16"/>
                    </w:rPr>
                    <w:t xml:space="preserve">МКОУ </w:t>
                  </w:r>
                  <w:r>
                    <w:rPr>
                      <w:sz w:val="16"/>
                      <w:szCs w:val="16"/>
                    </w:rPr>
                    <w:t>Богучанская школа № 3</w:t>
                  </w:r>
                </w:p>
              </w:txbxContent>
            </v:textbox>
          </v:shape>
        </w:pict>
      </w:r>
      <w:r w:rsidRPr="004A01E5">
        <w:rPr>
          <w:rFonts w:ascii="Times New Roman" w:hAnsi="Times New Roman" w:cs="Times New Roman"/>
          <w:noProof/>
          <w:color w:val="auto"/>
          <w:sz w:val="22"/>
          <w:szCs w:val="22"/>
          <w:lang w:eastAsia="ru-RU"/>
        </w:rPr>
        <w:pict>
          <v:shape id="_x0000_s1033" type="#_x0000_t202" style="position:absolute;left:0;text-align:left;margin-left:287.45pt;margin-top:120pt;width:99.4pt;height:17.65pt;z-index:251667456;mso-width-relative:margin;mso-height-relative:margin">
            <v:textbox>
              <w:txbxContent>
                <w:p w:rsidR="00374EDC" w:rsidRPr="00F94AE1" w:rsidRDefault="00374EDC" w:rsidP="00374EDC">
                  <w:pPr>
                    <w:rPr>
                      <w:sz w:val="16"/>
                      <w:szCs w:val="16"/>
                    </w:rPr>
                  </w:pPr>
                  <w:r w:rsidRPr="00F94AE1">
                    <w:rPr>
                      <w:sz w:val="16"/>
                      <w:szCs w:val="16"/>
                    </w:rPr>
                    <w:t>МКОУ Такучетская школа</w:t>
                  </w:r>
                </w:p>
              </w:txbxContent>
            </v:textbox>
          </v:shape>
        </w:pict>
      </w:r>
      <w:r w:rsidRPr="00EF42B4">
        <w:rPr>
          <w:rFonts w:ascii="Times New Roman" w:eastAsia="Calibri" w:hAnsi="Times New Roman" w:cs="Times New Roman"/>
          <w:color w:val="auto"/>
          <w:u w:val="single"/>
        </w:rPr>
        <w:t>Результаты КДР 6 с учетом ИОУ</w:t>
      </w:r>
      <w:r>
        <w:rPr>
          <w:rFonts w:ascii="Times New Roman" w:hAnsi="Times New Roman" w:cs="Times New Roman"/>
          <w:noProof/>
          <w:color w:val="auto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4572000" cy="4572000"/>
            <wp:effectExtent l="19050" t="0" r="0" b="0"/>
            <wp:docPr id="47" name="Рисунок 1" descr="D:\Users\Userruo\Desktop\КДР 6\Облака\57_Богучанский район_КДР6_2023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ruo\Desktop\КДР 6\Облака\57_Богучанский район_КДР6_2023-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6F8">
        <w:rPr>
          <w:rFonts w:ascii="Times New Roman" w:hAnsi="Times New Roman" w:cs="Times New Roman"/>
          <w:color w:val="auto"/>
        </w:rPr>
        <w:t xml:space="preserve"> </w:t>
      </w:r>
    </w:p>
    <w:p w:rsidR="00374EDC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374EDC" w:rsidRPr="004D1EAC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D1EAC">
        <w:rPr>
          <w:rFonts w:ascii="Times New Roman" w:hAnsi="Times New Roman" w:cs="Times New Roman"/>
          <w:color w:val="auto"/>
        </w:rPr>
        <w:t>Результаты МКОУ Такучетской  школы уже не первый год оказыва</w:t>
      </w:r>
      <w:r>
        <w:rPr>
          <w:rFonts w:ascii="Times New Roman" w:hAnsi="Times New Roman" w:cs="Times New Roman"/>
          <w:color w:val="auto"/>
        </w:rPr>
        <w:t>ются з</w:t>
      </w:r>
      <w:r w:rsidRPr="004D1EAC">
        <w:rPr>
          <w:rFonts w:ascii="Times New Roman" w:hAnsi="Times New Roman" w:cs="Times New Roman"/>
          <w:color w:val="auto"/>
        </w:rPr>
        <w:t>начительно выше ожидаемых, также как и результаты МКОУ Хребтовской школы всегда в зоне низких результатов.</w:t>
      </w:r>
    </w:p>
    <w:p w:rsidR="00374EDC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374EDC" w:rsidRPr="00460AE1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22240C">
        <w:rPr>
          <w:rFonts w:ascii="Times New Roman" w:hAnsi="Times New Roman" w:cs="Times New Roman"/>
          <w:color w:val="auto"/>
        </w:rPr>
        <w:t>Основные результаты выполнения диагностической работы по читательской грамотности представлены в</w:t>
      </w:r>
      <w:r w:rsidRPr="00DA6D82">
        <w:rPr>
          <w:rFonts w:ascii="Times New Roman" w:hAnsi="Times New Roman" w:cs="Times New Roman"/>
          <w:color w:val="FF0000"/>
        </w:rPr>
        <w:t xml:space="preserve"> </w:t>
      </w:r>
      <w:r w:rsidRPr="00460AE1">
        <w:rPr>
          <w:rFonts w:ascii="Times New Roman" w:hAnsi="Times New Roman" w:cs="Times New Roman"/>
          <w:color w:val="auto"/>
        </w:rPr>
        <w:t>диаграмме № 2</w:t>
      </w:r>
    </w:p>
    <w:p w:rsidR="00374EDC" w:rsidRPr="00460AE1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374EDC" w:rsidRPr="00460AE1" w:rsidRDefault="00374EDC" w:rsidP="00374EDC">
      <w:pPr>
        <w:pStyle w:val="Default"/>
        <w:ind w:firstLine="709"/>
        <w:jc w:val="right"/>
        <w:rPr>
          <w:rFonts w:ascii="Times New Roman" w:hAnsi="Times New Roman" w:cs="Times New Roman"/>
          <w:color w:val="auto"/>
          <w:u w:val="single"/>
        </w:rPr>
      </w:pPr>
      <w:r w:rsidRPr="00460AE1">
        <w:rPr>
          <w:rFonts w:ascii="Times New Roman" w:hAnsi="Times New Roman" w:cs="Times New Roman"/>
          <w:color w:val="auto"/>
          <w:u w:val="single"/>
        </w:rPr>
        <w:t>Диаграмма № 2</w:t>
      </w:r>
    </w:p>
    <w:p w:rsidR="00374EDC" w:rsidRPr="00460AE1" w:rsidRDefault="00374EDC" w:rsidP="00374EDC">
      <w:pPr>
        <w:pStyle w:val="Default"/>
        <w:ind w:firstLine="709"/>
        <w:jc w:val="right"/>
        <w:rPr>
          <w:rFonts w:ascii="Times New Roman" w:hAnsi="Times New Roman" w:cs="Times New Roman"/>
          <w:color w:val="auto"/>
          <w:u w:val="single"/>
        </w:rPr>
      </w:pPr>
      <w:r w:rsidRPr="00460AE1">
        <w:rPr>
          <w:rFonts w:ascii="Times New Roman" w:hAnsi="Times New Roman" w:cs="Times New Roman"/>
          <w:color w:val="auto"/>
          <w:u w:val="single"/>
        </w:rPr>
        <w:t xml:space="preserve">  «Баллы за работу по 100 балльной шкале»</w:t>
      </w:r>
    </w:p>
    <w:p w:rsidR="00374EDC" w:rsidRPr="00460AE1" w:rsidRDefault="00374EDC" w:rsidP="00374ED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374EDC" w:rsidRPr="00DA6D82" w:rsidRDefault="00374EDC" w:rsidP="00374ED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2240C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724912" cy="6132444"/>
            <wp:effectExtent l="19050" t="0" r="28188" b="1656"/>
            <wp:docPr id="4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4EDC" w:rsidRPr="004105A9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EDC" w:rsidRPr="004105A9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5A9">
        <w:rPr>
          <w:rFonts w:ascii="Times New Roman" w:eastAsia="Calibri" w:hAnsi="Times New Roman" w:cs="Times New Roman"/>
          <w:sz w:val="24"/>
          <w:szCs w:val="24"/>
        </w:rPr>
        <w:t>Из данной диаграммы видно, что  общие результаты района немного  ниже краевых  на одну единицу. Самый высокий процент выполнения в  МКОУ Такучетской школе, самый низкий – в  МКОУ Богучанской  школы № 3.</w:t>
      </w:r>
    </w:p>
    <w:p w:rsidR="00374EDC" w:rsidRPr="00DA6D82" w:rsidRDefault="00374EDC" w:rsidP="00374ED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74EDC" w:rsidRPr="002D0240" w:rsidRDefault="00374EDC" w:rsidP="0037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E5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pict>
          <v:shape id="_x0000_s1026" type="#_x0000_t202" style="position:absolute;left:0;text-align:left;margin-left:215.7pt;margin-top:278.8pt;width:105.4pt;height:17.65pt;z-index:251660288;mso-width-relative:margin;mso-height-relative:margin">
            <v:textbox>
              <w:txbxContent>
                <w:p w:rsidR="00374EDC" w:rsidRPr="00F94AE1" w:rsidRDefault="00374EDC" w:rsidP="00374EDC">
                  <w:pPr>
                    <w:rPr>
                      <w:sz w:val="16"/>
                      <w:szCs w:val="16"/>
                    </w:rPr>
                  </w:pPr>
                  <w:r w:rsidRPr="00F94AE1">
                    <w:rPr>
                      <w:sz w:val="16"/>
                      <w:szCs w:val="16"/>
                    </w:rPr>
                    <w:t xml:space="preserve">МКОУ </w:t>
                  </w:r>
                  <w:r>
                    <w:rPr>
                      <w:sz w:val="16"/>
                      <w:szCs w:val="16"/>
                    </w:rPr>
                    <w:t>Хребтовская школа</w:t>
                  </w:r>
                </w:p>
              </w:txbxContent>
            </v:textbox>
          </v:shape>
        </w:pict>
      </w:r>
      <w:r w:rsidRPr="002D0240">
        <w:rPr>
          <w:rFonts w:ascii="Times New Roman" w:eastAsia="Calibri" w:hAnsi="Times New Roman" w:cs="Times New Roman"/>
          <w:sz w:val="24"/>
          <w:szCs w:val="24"/>
        </w:rPr>
        <w:t xml:space="preserve">С целью снижения получения необъективной оценки результатов обучающихся при проведении КДР 6 была проведена перекрестная проверка работ в  7 школах района:  </w:t>
      </w:r>
      <w:r w:rsidRPr="002D0240">
        <w:rPr>
          <w:rFonts w:ascii="Times New Roman" w:hAnsi="Times New Roman" w:cs="Times New Roman"/>
          <w:sz w:val="24"/>
          <w:szCs w:val="24"/>
        </w:rPr>
        <w:t>МКОУ  Богучанская школа № 1 им. К.И. Безруких</w:t>
      </w:r>
    </w:p>
    <w:p w:rsidR="00374EDC" w:rsidRPr="002D0240" w:rsidRDefault="00374EDC" w:rsidP="00374E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0240">
        <w:rPr>
          <w:rFonts w:ascii="Times New Roman" w:eastAsia="Calibri" w:hAnsi="Times New Roman" w:cs="Times New Roman"/>
          <w:sz w:val="24"/>
          <w:szCs w:val="24"/>
        </w:rPr>
        <w:t>МКОУ  Ангарская школа</w:t>
      </w:r>
    </w:p>
    <w:p w:rsidR="00374EDC" w:rsidRPr="002D0240" w:rsidRDefault="00374EDC" w:rsidP="00374E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0240">
        <w:rPr>
          <w:rFonts w:ascii="Times New Roman" w:eastAsia="Calibri" w:hAnsi="Times New Roman" w:cs="Times New Roman"/>
          <w:sz w:val="24"/>
          <w:szCs w:val="24"/>
        </w:rPr>
        <w:t>МКОУ Артюгинская школа</w:t>
      </w:r>
    </w:p>
    <w:p w:rsidR="00374EDC" w:rsidRPr="002D0240" w:rsidRDefault="00374EDC" w:rsidP="00374E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0240">
        <w:rPr>
          <w:rFonts w:ascii="Times New Roman" w:eastAsia="Calibri" w:hAnsi="Times New Roman" w:cs="Times New Roman"/>
          <w:sz w:val="24"/>
          <w:szCs w:val="24"/>
        </w:rPr>
        <w:t>МКОУ Таежнинская школа № 7</w:t>
      </w:r>
    </w:p>
    <w:p w:rsidR="00374EDC" w:rsidRPr="002D0240" w:rsidRDefault="00374EDC" w:rsidP="00374E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0240">
        <w:rPr>
          <w:rFonts w:ascii="Times New Roman" w:eastAsia="Calibri" w:hAnsi="Times New Roman" w:cs="Times New Roman"/>
          <w:sz w:val="24"/>
          <w:szCs w:val="24"/>
        </w:rPr>
        <w:t>МКОУ Осиновская школа</w:t>
      </w:r>
    </w:p>
    <w:p w:rsidR="00374EDC" w:rsidRPr="002D0240" w:rsidRDefault="00374EDC" w:rsidP="00374E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0240">
        <w:rPr>
          <w:rFonts w:ascii="Times New Roman" w:eastAsia="Calibri" w:hAnsi="Times New Roman" w:cs="Times New Roman"/>
          <w:sz w:val="24"/>
          <w:szCs w:val="24"/>
        </w:rPr>
        <w:t>МКОУ Такучетская школа</w:t>
      </w:r>
    </w:p>
    <w:p w:rsidR="00374EDC" w:rsidRPr="002D0240" w:rsidRDefault="00374EDC" w:rsidP="00374E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0240">
        <w:rPr>
          <w:rFonts w:ascii="Times New Roman" w:eastAsia="Calibri" w:hAnsi="Times New Roman" w:cs="Times New Roman"/>
          <w:sz w:val="24"/>
          <w:szCs w:val="24"/>
        </w:rPr>
        <w:t>МКОУ Хребтовская школа</w:t>
      </w:r>
    </w:p>
    <w:p w:rsidR="00374EDC" w:rsidRDefault="00374EDC" w:rsidP="00374E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74EDC" w:rsidRPr="00FE45CA" w:rsidRDefault="00374EDC" w:rsidP="0037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EDC" w:rsidRPr="00FE45CA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5CA">
        <w:rPr>
          <w:rFonts w:ascii="Times New Roman" w:eastAsia="Calibri" w:hAnsi="Times New Roman" w:cs="Times New Roman"/>
          <w:sz w:val="24"/>
          <w:szCs w:val="24"/>
        </w:rPr>
        <w:lastRenderedPageBreak/>
        <w:t>Перекрестная проверка показала следующее  количество несовпадений оценки экспертов из своей школы и экспертов из назначенной для проверки школы – таблица  № 3.</w:t>
      </w:r>
    </w:p>
    <w:p w:rsidR="00374EDC" w:rsidRPr="00FE45CA" w:rsidRDefault="00374EDC" w:rsidP="00374ED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45C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Таблица 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</w:p>
    <w:p w:rsidR="00374EDC" w:rsidRPr="00FE45CA" w:rsidRDefault="00374EDC" w:rsidP="00374ED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45C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Количество несовпадений </w:t>
      </w:r>
    </w:p>
    <w:p w:rsidR="00374EDC" w:rsidRPr="00FE45CA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374EDC" w:rsidRPr="00DA6D82" w:rsidRDefault="00374EDC" w:rsidP="00374ED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7"/>
        <w:gridCol w:w="1275"/>
        <w:gridCol w:w="1418"/>
        <w:gridCol w:w="1417"/>
        <w:gridCol w:w="1276"/>
        <w:gridCol w:w="992"/>
        <w:gridCol w:w="1276"/>
        <w:gridCol w:w="992"/>
      </w:tblGrid>
      <w:tr w:rsidR="00374EDC" w:rsidRPr="00615ED1" w:rsidTr="000C16BC">
        <w:trPr>
          <w:trHeight w:val="33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74EDC" w:rsidRPr="00615ED1" w:rsidTr="000C16BC">
        <w:trPr>
          <w:trHeight w:val="1123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Ангарская-1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Ангарская -1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 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(ТШ 7 – 11)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(ТШ 7 – 11)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EDC" w:rsidRPr="00615ED1" w:rsidTr="000C16BC">
        <w:trPr>
          <w:trHeight w:val="1679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Ангарская-3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ТШ 7 – 5 Осиновская – 5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Хребтовская - 2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Ангарская-2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Осиновская - 3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74EDC" w:rsidRPr="00615ED1" w:rsidTr="000C16BC">
        <w:trPr>
          <w:trHeight w:val="167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ТШ 7 - 1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Осиновская – 2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ТШ 7 - 1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ТШ 7 -1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Ангарская – 3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Осиновская-3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ТШ 7 -2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74EDC" w:rsidRPr="00615ED1" w:rsidTr="000C16BC">
        <w:trPr>
          <w:trHeight w:val="2290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Ангарская-1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Хребтовская – 1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Осиновская - 1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Ангарская-2</w:t>
            </w:r>
          </w:p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ТШ 7 - 7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EDC" w:rsidRPr="0084672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1-Ангарская-1 </w:t>
            </w:r>
          </w:p>
        </w:tc>
      </w:tr>
    </w:tbl>
    <w:p w:rsidR="00374EDC" w:rsidRPr="00DA6D82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74EDC" w:rsidRPr="00DA6D82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74EDC" w:rsidRPr="00E812B5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B5">
        <w:rPr>
          <w:rFonts w:ascii="Times New Roman" w:eastAsia="Calibri" w:hAnsi="Times New Roman" w:cs="Times New Roman"/>
          <w:sz w:val="24"/>
          <w:szCs w:val="24"/>
        </w:rPr>
        <w:t xml:space="preserve">Из диаграммы № 3 можно сделать вывод о том, что в Таежнинской школе  № 7 большое расхождение между выставленными баллами учителей из своей школы и учителей из муниципальной комиссии. Далее идут школы – Ангарская и Осиновская. Это говорит о необъективной проверке в этих школах. </w:t>
      </w:r>
    </w:p>
    <w:p w:rsidR="00374EDC" w:rsidRPr="00E812B5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B5">
        <w:rPr>
          <w:rFonts w:ascii="Times New Roman" w:eastAsia="Calibri" w:hAnsi="Times New Roman" w:cs="Times New Roman"/>
          <w:sz w:val="24"/>
          <w:szCs w:val="24"/>
        </w:rPr>
        <w:t xml:space="preserve">Вышеназванным школам рекомендовано: при дальнейшей проверке      внимательно изучать и следовать  инструкциям  для проверяющих. Осуществлять проверку в соответствии с рекомендациями. </w:t>
      </w:r>
    </w:p>
    <w:p w:rsidR="00374EDC" w:rsidRPr="00E812B5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EDC" w:rsidRPr="00E812B5" w:rsidRDefault="00374EDC" w:rsidP="00374ED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812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Диаграмма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E812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374EDC" w:rsidRPr="00E812B5" w:rsidRDefault="00374EDC" w:rsidP="00374ED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812B5">
        <w:rPr>
          <w:rFonts w:ascii="Times New Roman" w:eastAsia="Calibri" w:hAnsi="Times New Roman" w:cs="Times New Roman"/>
          <w:sz w:val="24"/>
          <w:szCs w:val="24"/>
          <w:u w:val="single"/>
        </w:rPr>
        <w:t>Количество несовпадений в выставленных баллах по предметам</w:t>
      </w:r>
    </w:p>
    <w:p w:rsidR="00374EDC" w:rsidRPr="00DA6D82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74EDC" w:rsidRDefault="00374EDC" w:rsidP="00374EDC">
      <w:pPr>
        <w:keepNext/>
        <w:spacing w:after="0" w:line="240" w:lineRule="auto"/>
        <w:ind w:firstLine="142"/>
        <w:jc w:val="both"/>
      </w:pPr>
      <w:r w:rsidRPr="00FE45CA">
        <w:rPr>
          <w:noProof/>
          <w:lang w:eastAsia="ru-RU"/>
        </w:rPr>
        <w:lastRenderedPageBreak/>
        <w:drawing>
          <wp:inline distT="0" distB="0" distL="0" distR="0">
            <wp:extent cx="5398191" cy="2007705"/>
            <wp:effectExtent l="19050" t="0" r="12009" b="0"/>
            <wp:docPr id="5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4EDC" w:rsidRPr="00DA6D82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A6D8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</w:p>
    <w:p w:rsidR="00374EDC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74EDC" w:rsidRPr="00AF36C0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6C0">
        <w:rPr>
          <w:rFonts w:ascii="Times New Roman" w:eastAsia="Calibri" w:hAnsi="Times New Roman" w:cs="Times New Roman"/>
          <w:sz w:val="24"/>
          <w:szCs w:val="24"/>
        </w:rPr>
        <w:t xml:space="preserve">Из диаграммы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F36C0">
        <w:rPr>
          <w:rFonts w:ascii="Times New Roman" w:eastAsia="Calibri" w:hAnsi="Times New Roman" w:cs="Times New Roman"/>
          <w:sz w:val="24"/>
          <w:szCs w:val="24"/>
        </w:rPr>
        <w:t xml:space="preserve"> видно, что самое большое количество несовпадений –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проверенных работ  </w:t>
      </w:r>
      <w:r w:rsidRPr="00AF36C0">
        <w:rPr>
          <w:rFonts w:ascii="Times New Roman" w:eastAsia="Calibri" w:hAnsi="Times New Roman" w:cs="Times New Roman"/>
          <w:sz w:val="24"/>
          <w:szCs w:val="24"/>
        </w:rPr>
        <w:t xml:space="preserve">предметной области   «Математика». </w:t>
      </w:r>
    </w:p>
    <w:p w:rsidR="00374EDC" w:rsidRPr="00AF36C0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6C0">
        <w:rPr>
          <w:rFonts w:ascii="Times New Roman" w:eastAsia="Calibri" w:hAnsi="Times New Roman" w:cs="Times New Roman"/>
          <w:sz w:val="24"/>
          <w:szCs w:val="24"/>
        </w:rPr>
        <w:t>При контроле  качества проверки КДР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6C0">
        <w:rPr>
          <w:rFonts w:ascii="Times New Roman" w:eastAsia="Calibri" w:hAnsi="Times New Roman" w:cs="Times New Roman"/>
          <w:sz w:val="24"/>
          <w:szCs w:val="24"/>
        </w:rPr>
        <w:t>6, муниципальным координатором были проверены все протоколы и выборочно работы обучающихся с выставленными экспертами баллами.</w:t>
      </w:r>
    </w:p>
    <w:p w:rsidR="00374EDC" w:rsidRPr="00AF36C0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6C0">
        <w:rPr>
          <w:rFonts w:ascii="Times New Roman" w:eastAsia="Calibri" w:hAnsi="Times New Roman" w:cs="Times New Roman"/>
          <w:sz w:val="24"/>
          <w:szCs w:val="24"/>
        </w:rPr>
        <w:t>Выявлены следующие ошибки:</w:t>
      </w:r>
    </w:p>
    <w:p w:rsidR="00374EDC" w:rsidRPr="00AF36C0" w:rsidRDefault="00374EDC" w:rsidP="00374E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6C0">
        <w:rPr>
          <w:rFonts w:ascii="Times New Roman" w:eastAsia="Calibri" w:hAnsi="Times New Roman" w:cs="Times New Roman"/>
          <w:sz w:val="24"/>
          <w:szCs w:val="24"/>
        </w:rPr>
        <w:t>Расхождение в оценивании заданий закрытого типа</w:t>
      </w:r>
    </w:p>
    <w:p w:rsidR="00374EDC" w:rsidRPr="00AF36C0" w:rsidRDefault="00374EDC" w:rsidP="00374E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6C0">
        <w:rPr>
          <w:rFonts w:ascii="Times New Roman" w:eastAsia="Calibri" w:hAnsi="Times New Roman" w:cs="Times New Roman"/>
          <w:sz w:val="24"/>
          <w:szCs w:val="24"/>
        </w:rPr>
        <w:t>Ошибки  при проверке заданий закрытого типа</w:t>
      </w:r>
    </w:p>
    <w:p w:rsidR="00374EDC" w:rsidRPr="00AF36C0" w:rsidRDefault="00374EDC" w:rsidP="00374E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6C0">
        <w:rPr>
          <w:rFonts w:ascii="Times New Roman" w:eastAsia="Calibri" w:hAnsi="Times New Roman" w:cs="Times New Roman"/>
          <w:sz w:val="24"/>
          <w:szCs w:val="24"/>
        </w:rPr>
        <w:t>Расхождение во мнении – засчитывать ли ответ «минералы» как ответ «минеральные соли».</w:t>
      </w:r>
    </w:p>
    <w:p w:rsidR="00374EDC" w:rsidRPr="00AF36C0" w:rsidRDefault="00374EDC" w:rsidP="00374E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EDC" w:rsidRPr="00AF36C0" w:rsidRDefault="00374EDC" w:rsidP="00374E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6C0">
        <w:rPr>
          <w:rFonts w:ascii="Times New Roman" w:eastAsia="Calibri" w:hAnsi="Times New Roman" w:cs="Times New Roman"/>
          <w:sz w:val="24"/>
          <w:szCs w:val="24"/>
        </w:rPr>
        <w:t>Общий вывод:  эксперты не внимательны  при  проверке работ.</w:t>
      </w:r>
    </w:p>
    <w:p w:rsidR="00374EDC" w:rsidRPr="00AF36C0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EDC" w:rsidRPr="00AF36C0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6C0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Pr="00AF36C0">
        <w:rPr>
          <w:rFonts w:ascii="Times New Roman" w:eastAsia="Calibri" w:hAnsi="Times New Roman" w:cs="Times New Roman"/>
          <w:bCs/>
          <w:sz w:val="24"/>
          <w:szCs w:val="24"/>
        </w:rPr>
        <w:t>повышения объективности получения результатов независимых процедур</w:t>
      </w:r>
      <w:r w:rsidRPr="00AF36C0">
        <w:rPr>
          <w:rFonts w:ascii="Times New Roman" w:eastAsia="Calibri" w:hAnsi="Times New Roman" w:cs="Times New Roman"/>
          <w:sz w:val="24"/>
          <w:szCs w:val="24"/>
        </w:rPr>
        <w:t xml:space="preserve">, а также для  исправления ситуации с некачественной проверкой,  </w:t>
      </w:r>
      <w:r w:rsidRPr="00AF36C0">
        <w:rPr>
          <w:rFonts w:ascii="Times New Roman" w:eastAsia="Calibri" w:hAnsi="Times New Roman" w:cs="Times New Roman"/>
          <w:bCs/>
          <w:sz w:val="24"/>
          <w:szCs w:val="24"/>
        </w:rPr>
        <w:t xml:space="preserve">27.12.2022 года </w:t>
      </w:r>
      <w:r w:rsidRPr="00AF36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F36C0">
        <w:rPr>
          <w:rFonts w:ascii="Times New Roman" w:eastAsia="Calibri" w:hAnsi="Times New Roman" w:cs="Times New Roman"/>
          <w:sz w:val="24"/>
          <w:szCs w:val="24"/>
        </w:rPr>
        <w:t>управление образования провело совещание с ответственными за проведение КДР в школах (протокол № 2 от 11.12.2023г). На совещании были даны адресные рекомендации школам.</w:t>
      </w:r>
    </w:p>
    <w:p w:rsidR="00374EDC" w:rsidRPr="00AF36C0" w:rsidRDefault="00374EDC" w:rsidP="00374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6C0">
        <w:rPr>
          <w:rFonts w:ascii="Times New Roman" w:eastAsia="Calibri" w:hAnsi="Times New Roman" w:cs="Times New Roman"/>
          <w:sz w:val="24"/>
          <w:szCs w:val="24"/>
        </w:rPr>
        <w:t>Во всех школах был сделан анализ полученных результатов КДР 6.</w:t>
      </w:r>
    </w:p>
    <w:p w:rsidR="00374EDC" w:rsidRPr="00644861" w:rsidRDefault="00374EDC" w:rsidP="00374EDC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EDC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результатов во всех школах на разных уровнях были проанализированы результаты обучающихся. Подходы в анализе у школ различаются: в некоторых школах анализ проведен заместителем директора по УВР, в некоторых на уровне МО учителей-предметников, в некоторых учителями-предметниками. Из предоставленных школами документов, не видна работа по анализу КДР на уровне педагогических советов.</w:t>
      </w:r>
    </w:p>
    <w:p w:rsidR="00374EDC" w:rsidRPr="00A42403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часть школ продолжила работать по задачам прошлого года. Вызывает недоумение документы,  в которых учителям рекомендовано использовать прием «тонкие и толстые вопросы», «фишбоун» и т.д. , т.е приемы, которые доказали свою неэффективность в развитии читательской грамотности обучающихся. </w:t>
      </w:r>
    </w:p>
    <w:p w:rsidR="00374EDC" w:rsidRDefault="00374EDC" w:rsidP="00374ED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4EDC" w:rsidRPr="00A42403" w:rsidRDefault="00374EDC" w:rsidP="00374ED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403">
        <w:rPr>
          <w:rFonts w:ascii="Times New Roman" w:eastAsia="Calibri" w:hAnsi="Times New Roman" w:cs="Times New Roman"/>
          <w:b/>
          <w:sz w:val="24"/>
          <w:szCs w:val="24"/>
        </w:rPr>
        <w:t>КДР 8 по естественнонаучной  грамотности</w:t>
      </w:r>
    </w:p>
    <w:p w:rsidR="00374EDC" w:rsidRPr="00A42403" w:rsidRDefault="00374EDC" w:rsidP="0037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диагностической работе по естественнонаучной грамотности для 8-х классов приняли участие 391 обучающихся из 22 школ  Богучанского района. Работа проводилась 31 января 2024 года.</w:t>
      </w:r>
    </w:p>
    <w:p w:rsidR="00374EDC" w:rsidRPr="00DD5612" w:rsidRDefault="00374EDC" w:rsidP="00374EDC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D5612">
        <w:rPr>
          <w:rFonts w:ascii="Times New Roman" w:hAnsi="Times New Roman" w:cs="Times New Roman"/>
          <w:sz w:val="24"/>
          <w:szCs w:val="24"/>
        </w:rPr>
        <w:t>По результатам выполнения КДР8 выделено три уровня достижений: повышенный, базовый и ниже базового.</w:t>
      </w:r>
      <w:r w:rsidRPr="00DD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результаты по муниципальному </w:t>
      </w:r>
      <w:r w:rsidRPr="00DD5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образованию приведены в сопоставлении со средними данными по региону в Таблицах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4EDC" w:rsidRPr="0037211F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DC" w:rsidRPr="0037211F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2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Таблица № 2</w:t>
      </w:r>
    </w:p>
    <w:p w:rsidR="00374EDC" w:rsidRPr="0037211F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2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Уровни достижений ЕНГ  в сравнении </w:t>
      </w:r>
    </w:p>
    <w:p w:rsidR="00374EDC" w:rsidRPr="0037211F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7"/>
        <w:gridCol w:w="2268"/>
        <w:gridCol w:w="2051"/>
        <w:gridCol w:w="1700"/>
      </w:tblGrid>
      <w:tr w:rsidR="00374EDC" w:rsidRPr="0037211F" w:rsidTr="000C16BC">
        <w:trPr>
          <w:trHeight w:val="650"/>
        </w:trPr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9" w:type="dxa"/>
            <w:gridSpan w:val="3"/>
            <w:shd w:val="clear" w:color="auto" w:fill="auto"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374EDC" w:rsidRPr="0037211F" w:rsidTr="000C16BC">
        <w:trPr>
          <w:trHeight w:val="383"/>
        </w:trPr>
        <w:tc>
          <w:tcPr>
            <w:tcW w:w="2987" w:type="dxa"/>
            <w:vMerge/>
            <w:shd w:val="clear" w:color="auto" w:fill="auto"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Повышенный</w:t>
            </w:r>
          </w:p>
        </w:tc>
      </w:tr>
      <w:tr w:rsidR="00374EDC" w:rsidRPr="0037211F" w:rsidTr="000C16BC">
        <w:trPr>
          <w:trHeight w:val="577"/>
        </w:trPr>
        <w:tc>
          <w:tcPr>
            <w:tcW w:w="2987" w:type="dxa"/>
            <w:shd w:val="clear" w:color="000000" w:fill="FFFFFF"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D39"/>
            <w:r w:rsidRPr="0037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27,11%</w:t>
            </w:r>
            <w:bookmarkEnd w:id="9"/>
          </w:p>
        </w:tc>
        <w:tc>
          <w:tcPr>
            <w:tcW w:w="2051" w:type="dxa"/>
            <w:shd w:val="clear" w:color="000000" w:fill="FFFFFF"/>
            <w:noWrap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RANGE!E39"/>
            <w:r w:rsidRPr="0037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65,73%</w:t>
            </w:r>
            <w:bookmarkEnd w:id="10"/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RANGE!F39"/>
            <w:r w:rsidRPr="0037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7,16%</w:t>
            </w:r>
            <w:bookmarkEnd w:id="11"/>
          </w:p>
        </w:tc>
      </w:tr>
      <w:tr w:rsidR="00374EDC" w:rsidRPr="0037211F" w:rsidTr="000C16BC">
        <w:trPr>
          <w:trHeight w:val="516"/>
        </w:trPr>
        <w:tc>
          <w:tcPr>
            <w:tcW w:w="2987" w:type="dxa"/>
            <w:shd w:val="clear" w:color="000000" w:fill="FFFFFF"/>
            <w:noWrap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 (%)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30,04%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59,98%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374EDC" w:rsidRPr="0037211F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9,98%</w:t>
            </w:r>
          </w:p>
        </w:tc>
      </w:tr>
    </w:tbl>
    <w:p w:rsidR="00374EDC" w:rsidRPr="0037211F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74EDC" w:rsidRPr="0037211F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74EDC" w:rsidRPr="0037211F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2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Таблица № 3</w:t>
      </w:r>
    </w:p>
    <w:p w:rsidR="00374EDC" w:rsidRPr="0037211F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2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Уровни достижений МГ  в сравнении </w:t>
      </w:r>
    </w:p>
    <w:p w:rsidR="00374EDC" w:rsidRPr="0037211F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686"/>
        <w:gridCol w:w="283"/>
        <w:gridCol w:w="1839"/>
        <w:gridCol w:w="1847"/>
      </w:tblGrid>
      <w:tr w:rsidR="00374EDC" w:rsidRPr="00D51790" w:rsidTr="000C16BC">
        <w:trPr>
          <w:trHeight w:val="990"/>
        </w:trPr>
        <w:tc>
          <w:tcPr>
            <w:tcW w:w="5670" w:type="dxa"/>
            <w:gridSpan w:val="3"/>
            <w:shd w:val="clear" w:color="000000" w:fill="39639D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Основные результаты выполнения краевой диагностической работы по естественно-научной грамотности</w:t>
            </w:r>
          </w:p>
        </w:tc>
        <w:tc>
          <w:tcPr>
            <w:tcW w:w="1647" w:type="dxa"/>
            <w:shd w:val="clear" w:color="000000" w:fill="39639D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Среднее значение по муниципальному образованию (%)</w:t>
            </w:r>
          </w:p>
        </w:tc>
        <w:tc>
          <w:tcPr>
            <w:tcW w:w="2039" w:type="dxa"/>
            <w:shd w:val="clear" w:color="000000" w:fill="39639D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Среднее значение по краю (%)</w:t>
            </w:r>
          </w:p>
        </w:tc>
      </w:tr>
      <w:tr w:rsidR="00374EDC" w:rsidRPr="00D51790" w:rsidTr="000C16BC">
        <w:trPr>
          <w:trHeight w:val="405"/>
        </w:trPr>
        <w:tc>
          <w:tcPr>
            <w:tcW w:w="9356" w:type="dxa"/>
            <w:gridSpan w:val="5"/>
            <w:shd w:val="clear" w:color="000000" w:fill="DEF5FA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lang w:eastAsia="ru-RU"/>
              </w:rPr>
              <w:t>Успешность выполнения (% от максимального балла)</w:t>
            </w:r>
          </w:p>
        </w:tc>
      </w:tr>
      <w:tr w:rsidR="00374EDC" w:rsidRPr="00D51790" w:rsidTr="000C16BC">
        <w:trPr>
          <w:trHeight w:val="315"/>
        </w:trPr>
        <w:tc>
          <w:tcPr>
            <w:tcW w:w="5387" w:type="dxa"/>
            <w:gridSpan w:val="2"/>
            <w:shd w:val="clear" w:color="auto" w:fill="auto"/>
            <w:hideMark/>
          </w:tcPr>
          <w:p w:rsidR="00374EDC" w:rsidRPr="00D517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lang w:eastAsia="ru-RU"/>
              </w:rPr>
              <w:t>Вся работа (общий балл)</w:t>
            </w:r>
          </w:p>
        </w:tc>
        <w:tc>
          <w:tcPr>
            <w:tcW w:w="1930" w:type="dxa"/>
            <w:gridSpan w:val="2"/>
            <w:shd w:val="clear" w:color="000000" w:fill="FFFFFF"/>
            <w:noWrap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36,03%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lang w:eastAsia="ru-RU"/>
              </w:rPr>
              <w:t>35,33%</w:t>
            </w:r>
          </w:p>
        </w:tc>
      </w:tr>
      <w:tr w:rsidR="00374EDC" w:rsidRPr="00D51790" w:rsidTr="000C16BC">
        <w:trPr>
          <w:trHeight w:val="67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по группам умений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lang w:eastAsia="ru-RU"/>
              </w:rPr>
              <w:t>Описание и объяснение естественно-научных явлений на основе имеющихся научных знаний</w:t>
            </w:r>
          </w:p>
        </w:tc>
        <w:tc>
          <w:tcPr>
            <w:tcW w:w="1930" w:type="dxa"/>
            <w:gridSpan w:val="2"/>
            <w:shd w:val="clear" w:color="000000" w:fill="FFFFFF"/>
            <w:noWrap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30,65%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lang w:eastAsia="ru-RU"/>
              </w:rPr>
              <w:t>26,89%</w:t>
            </w:r>
          </w:p>
        </w:tc>
      </w:tr>
      <w:tr w:rsidR="00374EDC" w:rsidRPr="00D51790" w:rsidTr="000C16BC">
        <w:trPr>
          <w:trHeight w:val="660"/>
        </w:trPr>
        <w:tc>
          <w:tcPr>
            <w:tcW w:w="1701" w:type="dxa"/>
            <w:vMerge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lang w:eastAsia="ru-RU"/>
              </w:rPr>
              <w:t>Распознавание научных вопросов и применение методов естественно-научного исследования</w:t>
            </w:r>
          </w:p>
        </w:tc>
        <w:tc>
          <w:tcPr>
            <w:tcW w:w="1930" w:type="dxa"/>
            <w:gridSpan w:val="2"/>
            <w:shd w:val="clear" w:color="000000" w:fill="FFFFFF"/>
            <w:noWrap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40,73%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lang w:eastAsia="ru-RU"/>
              </w:rPr>
              <w:t>40,74%</w:t>
            </w:r>
          </w:p>
        </w:tc>
      </w:tr>
      <w:tr w:rsidR="00374EDC" w:rsidRPr="00D51790" w:rsidTr="000C16BC">
        <w:trPr>
          <w:trHeight w:val="960"/>
        </w:trPr>
        <w:tc>
          <w:tcPr>
            <w:tcW w:w="1701" w:type="dxa"/>
            <w:vMerge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lang w:eastAsia="ru-RU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1930" w:type="dxa"/>
            <w:gridSpan w:val="2"/>
            <w:shd w:val="clear" w:color="000000" w:fill="FFFFFF"/>
            <w:noWrap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34,27%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lang w:eastAsia="ru-RU"/>
              </w:rPr>
              <w:t>35,27%</w:t>
            </w:r>
          </w:p>
        </w:tc>
      </w:tr>
      <w:tr w:rsidR="00374EDC" w:rsidRPr="00D51790" w:rsidTr="000C16BC">
        <w:trPr>
          <w:trHeight w:val="390"/>
        </w:trPr>
        <w:tc>
          <w:tcPr>
            <w:tcW w:w="9356" w:type="dxa"/>
            <w:gridSpan w:val="5"/>
            <w:shd w:val="clear" w:color="000000" w:fill="DEF5FA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Уровни достижений (% учащихся)</w:t>
            </w:r>
          </w:p>
        </w:tc>
      </w:tr>
      <w:tr w:rsidR="00374EDC" w:rsidRPr="00D51790" w:rsidTr="000C16BC">
        <w:trPr>
          <w:trHeight w:val="390"/>
        </w:trPr>
        <w:tc>
          <w:tcPr>
            <w:tcW w:w="5670" w:type="dxa"/>
            <w:gridSpan w:val="3"/>
            <w:shd w:val="clear" w:color="auto" w:fill="auto"/>
            <w:hideMark/>
          </w:tcPr>
          <w:p w:rsidR="00374EDC" w:rsidRPr="00D517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Достигли базового уровня (включая повышенный)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72,89%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69,96%</w:t>
            </w:r>
          </w:p>
        </w:tc>
      </w:tr>
      <w:tr w:rsidR="00374EDC" w:rsidRPr="00D51790" w:rsidTr="000C16BC">
        <w:trPr>
          <w:trHeight w:val="405"/>
        </w:trPr>
        <w:tc>
          <w:tcPr>
            <w:tcW w:w="5670" w:type="dxa"/>
            <w:gridSpan w:val="3"/>
            <w:shd w:val="clear" w:color="auto" w:fill="auto"/>
            <w:noWrap/>
            <w:hideMark/>
          </w:tcPr>
          <w:p w:rsidR="00374EDC" w:rsidRPr="00D51790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Достигли повышенного уровня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7,16%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374EDC" w:rsidRPr="00D51790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9,98%</w:t>
            </w:r>
          </w:p>
        </w:tc>
      </w:tr>
    </w:tbl>
    <w:p w:rsidR="00374EDC" w:rsidRPr="00DA6D82" w:rsidRDefault="00374EDC" w:rsidP="00374EDC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374EDC" w:rsidRDefault="00374EDC" w:rsidP="00374EDC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B3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Из данных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таблицы № 2 и № 3</w:t>
      </w:r>
      <w:r w:rsidRPr="007B3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можно сделать вывод о том, что % детей, имеющих уровень ЕНГ   выше  базового в районе меньше, чем среднее значение по краю. </w:t>
      </w:r>
    </w:p>
    <w:p w:rsidR="00374EDC" w:rsidRDefault="00374EDC" w:rsidP="00374EDC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 трех  школ отсутствуют результаты ниже базового уровня: Красногорьевская, Нижнетерянская, Шиверская и  в 8б классе МКОУ Богучанской школы № 4, что демонстрирует диаграмма № 4. </w:t>
      </w:r>
    </w:p>
    <w:p w:rsidR="00374EDC" w:rsidRDefault="00374EDC" w:rsidP="00374E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Диаграмма № 4</w:t>
      </w:r>
    </w:p>
    <w:p w:rsidR="00374EDC" w:rsidRPr="007B3EDA" w:rsidRDefault="00374EDC" w:rsidP="00374E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Выполнение работы ниже базового уровня</w:t>
      </w:r>
    </w:p>
    <w:p w:rsidR="00374EDC" w:rsidRDefault="00374EDC" w:rsidP="00374EDC">
      <w:pPr>
        <w:spacing w:after="26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FD18E6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247047" cy="3836505"/>
            <wp:effectExtent l="19050" t="0" r="20403" b="0"/>
            <wp:docPr id="5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4EDC" w:rsidRPr="005F5240" w:rsidRDefault="00374EDC" w:rsidP="00374EDC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F52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Из представленной диаграммы 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Pr="005F52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можно сделать вывод, что самая критичная ситуация по уровням достижений ниже базового у следующих школ: Чуноярская 8б, Хребтовская,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Октяб</w:t>
      </w:r>
      <w:r w:rsidRPr="005F52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рьская 8б, Манзенская, Говорковская, таежнинсккая № 20. В этих школах у более 50% обучающихся уровень недостаточный для дальненйшего обучения. </w:t>
      </w:r>
    </w:p>
    <w:p w:rsidR="00374EDC" w:rsidRDefault="00374EDC" w:rsidP="00374EDC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D33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высокие показатели уровня ЕНГ  среди обучающихся 8 классов в следующих школах: МКОУ Богучанской № 2 8а класс, МКОУ Богучанской школы № 4 8а, Новохайской школе.</w:t>
      </w:r>
    </w:p>
    <w:p w:rsidR="00374EDC" w:rsidRPr="000204FD" w:rsidRDefault="00374EDC" w:rsidP="00374ED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4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Диаграмма № 5</w:t>
      </w:r>
    </w:p>
    <w:p w:rsidR="00374EDC" w:rsidRPr="000204FD" w:rsidRDefault="00374EDC" w:rsidP="00374ED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4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КДР 8 с учетом ИОУ</w:t>
      </w:r>
    </w:p>
    <w:p w:rsidR="00374EDC" w:rsidRPr="00DA6D82" w:rsidRDefault="00374EDC" w:rsidP="00374EDC">
      <w:pPr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374EDC" w:rsidRDefault="00374EDC" w:rsidP="00374EDC">
      <w:pPr>
        <w:spacing w:after="26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pict>
          <v:shape id="_x0000_s1032" type="#_x0000_t202" style="position:absolute;left:0;text-align:left;margin-left:114.85pt;margin-top:266.5pt;width:46.65pt;height:19.6pt;z-index:251666432;mso-width-relative:margin;mso-height-relative:margin">
            <v:textbox>
              <w:txbxContent>
                <w:p w:rsidR="00374EDC" w:rsidRDefault="00374EDC" w:rsidP="00374EDC">
                  <w:r>
                    <w:t>БШ 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_x0000_s1030" type="#_x0000_t202" style="position:absolute;left:0;text-align:left;margin-left:105.9pt;margin-top:319.75pt;width:79.8pt;height:19.6pt;z-index:251664384;mso-width-relative:margin;mso-height-relative:margin">
            <v:textbox>
              <w:txbxContent>
                <w:p w:rsidR="00374EDC" w:rsidRDefault="00374EDC" w:rsidP="00374EDC">
                  <w:r>
                    <w:t>Говорковская школа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_x0000_s1031" type="#_x0000_t202" style="position:absolute;left:0;text-align:left;margin-left:226.45pt;margin-top:286.1pt;width:75.9pt;height:19.6pt;z-index:251665408;mso-width-relative:margin;mso-height-relative:margin">
            <v:textbox>
              <w:txbxContent>
                <w:p w:rsidR="00374EDC" w:rsidRDefault="00374EDC" w:rsidP="00374EDC">
                  <w:r>
                    <w:t>Хребтовская школа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_x0000_s1028" type="#_x0000_t202" style="position:absolute;left:0;text-align:left;margin-left:114.85pt;margin-top:162pt;width:102.95pt;height:19.6pt;z-index:251662336;mso-width-relative:margin;mso-height-relative:margin">
            <v:textbox>
              <w:txbxContent>
                <w:p w:rsidR="00374EDC" w:rsidRDefault="00374EDC" w:rsidP="00374EDC">
                  <w:r>
                    <w:t>Красногорьевская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_x0000_s1029" type="#_x0000_t202" style="position:absolute;left:0;text-align:left;margin-left:238.2pt;margin-top:166.35pt;width:75.9pt;height:19.6pt;z-index:251663360;mso-width-relative:margin;mso-height-relative:margin">
            <v:textbox>
              <w:txbxContent>
                <w:p w:rsidR="00374EDC" w:rsidRDefault="00374EDC" w:rsidP="00374EDC">
                  <w:r>
                    <w:t>Новохайская школа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_x0000_s1027" type="#_x0000_t202" style="position:absolute;left:0;text-align:left;margin-left:206.1pt;margin-top:108.4pt;width:75.9pt;height:19.6pt;z-index:251661312;mso-width-relative:margin;mso-height-relative:margin">
            <v:textbox>
              <w:txbxContent>
                <w:p w:rsidR="00374EDC" w:rsidRDefault="00374EDC" w:rsidP="00374EDC">
                  <w:r>
                    <w:t>Шиверская</w:t>
                  </w:r>
                </w:p>
              </w:txbxContent>
            </v:textbox>
          </v:shape>
        </w:pict>
      </w:r>
      <w:r w:rsidRPr="00DA6D82">
        <w:rPr>
          <w:color w:val="FF0000"/>
        </w:rPr>
        <w:t xml:space="preserve"> </w:t>
      </w:r>
      <w:r>
        <w:rPr>
          <w:noProof/>
          <w:color w:val="FF0000"/>
          <w:lang w:eastAsia="ru-RU"/>
        </w:rPr>
        <w:drawing>
          <wp:inline distT="0" distB="0" distL="0" distR="0">
            <wp:extent cx="5089663" cy="5089663"/>
            <wp:effectExtent l="19050" t="0" r="0" b="0"/>
            <wp:docPr id="7" name="Рисунок 1" descr="C:\Users\Userruo\AppData\Local\Temp\7zO02815403\57_Богучанский район_КДР8_2023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uo\AppData\Local\Temp\7zO02815403\57_Богучанский район_КДР8_2023-2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64" cy="509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EDC" w:rsidRDefault="00374EDC" w:rsidP="00374EDC">
      <w:pPr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961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Данная диаграмма демонстрирует, что результаты  Новохайской, Красногорьевской  школ близки к линии ожидаемых результатов. </w:t>
      </w:r>
    </w:p>
    <w:p w:rsidR="00374EDC" w:rsidRPr="00396157" w:rsidRDefault="00374EDC" w:rsidP="00374EDC">
      <w:pPr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Далеко от линии ожидаемых результатов следующие ОУ: выше линии – Шиверская школа, ниже линии ожидаемых результатов – Манзенская, Хребтовская, Говорковская школы.</w:t>
      </w:r>
    </w:p>
    <w:p w:rsidR="00374EDC" w:rsidRDefault="00374EDC" w:rsidP="00374E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Диаграмма № 6</w:t>
      </w:r>
    </w:p>
    <w:p w:rsidR="00374EDC" w:rsidRPr="00FC68BE" w:rsidRDefault="00374EDC" w:rsidP="00374E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68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Распределение участников по уровням достижений за три года</w:t>
      </w:r>
    </w:p>
    <w:p w:rsidR="00374EDC" w:rsidRPr="00DA6D82" w:rsidRDefault="00374EDC" w:rsidP="00374EDC">
      <w:pPr>
        <w:spacing w:after="26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4562C9">
        <w:rPr>
          <w:rFonts w:ascii="Times New Roman" w:eastAsia="Times New Roman" w:hAnsi="Times New Roman" w:cs="Times New Roman"/>
          <w:noProof/>
          <w:color w:val="FF0000"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4572000" cy="2733675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4EDC" w:rsidRPr="00130C44" w:rsidRDefault="00374EDC" w:rsidP="00374EDC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диаграмма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демонстрирует  </w:t>
      </w:r>
      <w:r w:rsidRPr="0013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уровня «ниже базового» на 20%,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0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овышенного» на 11 %, повышение «базового» - на 31 %.</w:t>
      </w:r>
    </w:p>
    <w:p w:rsidR="00374EDC" w:rsidRDefault="00374EDC" w:rsidP="00374EDC">
      <w:pPr>
        <w:spacing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КДР 8 по ЕНГ </w:t>
      </w:r>
      <w:r w:rsidRPr="00DD7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  почти всеми ОУ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БСШ № 3).</w:t>
      </w:r>
    </w:p>
    <w:p w:rsidR="00374EDC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КДР 6 и КДР 8 школам </w:t>
      </w:r>
      <w:r w:rsidRPr="00E10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4EDC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EDC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4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5B5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Для формирования групп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умений на о</w:t>
      </w:r>
      <w:r w:rsidRPr="00BE41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смысление и оценк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r w:rsidRPr="00BE41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содержания и формы текста, использование информации из текста для различных целей</w:t>
      </w:r>
      <w:r w:rsidRPr="008815B5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, </w:t>
      </w:r>
      <w:bookmarkStart w:id="12" w:name="_GoBack"/>
      <w:bookmarkEnd w:id="12"/>
      <w:r w:rsidRPr="008815B5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учителям-предметникам применять задания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на </w:t>
      </w:r>
      <w:r w:rsidRPr="004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информации, содержащейся в тексте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различной форме.</w:t>
      </w:r>
    </w:p>
    <w:p w:rsidR="00374EDC" w:rsidRPr="008815B5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Учить обучающихся о</w:t>
      </w:r>
      <w:r w:rsidRPr="008815B5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ценивать форму визуального текста с точки зрения целей авторов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,  и</w:t>
      </w:r>
      <w:r w:rsidRPr="008815B5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спользовать информацию из текста для решений новой учебной задачи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.</w:t>
      </w:r>
      <w:r w:rsidRPr="008815B5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</w:p>
    <w:p w:rsidR="00374EDC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4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Организовать прохождение 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КПК, участие учителей в  вебинарах и семинарах по формированию читательской грамотности</w:t>
      </w:r>
      <w:r w:rsidRPr="008815B5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;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организовывать взаимопосещение уроков, </w:t>
      </w:r>
      <w:r w:rsidRPr="008815B5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проведение мероприятий, направленных на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8815B5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формир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ование читательской грамотности.</w:t>
      </w:r>
    </w:p>
    <w:p w:rsidR="00374EDC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планировании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проведении </w:t>
      </w:r>
      <w:r w:rsidRPr="004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включать задания из банка заданий для оценки читательской грамотности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(РЭШ)</w:t>
      </w:r>
      <w:r w:rsidRPr="004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4EDC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довести результаты КДР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 их родителей.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работу по разбору ошибок, допущенных обучающимися в работе (РНО).</w:t>
      </w:r>
    </w:p>
    <w:p w:rsidR="00374EDC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Style w:val="FontStyle81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363B7">
        <w:rPr>
          <w:rStyle w:val="FontStyle81"/>
          <w:rFonts w:ascii="Times New Roman" w:hAnsi="Times New Roman" w:cs="Times New Roman"/>
        </w:rPr>
        <w:t xml:space="preserve">Использовать дифференцированные задания для организации индивидуального сопровождения обучающихся, показавших низкие результаты. </w:t>
      </w:r>
    </w:p>
    <w:p w:rsidR="00374EDC" w:rsidRPr="004363B7" w:rsidRDefault="00374EDC" w:rsidP="00374EDC">
      <w:pPr>
        <w:shd w:val="clear" w:color="auto" w:fill="FFFFFF"/>
        <w:spacing w:after="0" w:line="240" w:lineRule="auto"/>
        <w:ind w:firstLine="709"/>
        <w:jc w:val="both"/>
        <w:rPr>
          <w:rStyle w:val="FontStyle81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Style w:val="FontStyle81"/>
          <w:rFonts w:ascii="Times New Roman" w:hAnsi="Times New Roman" w:cs="Times New Roman"/>
        </w:rPr>
        <w:t xml:space="preserve"> Обсудить полученные результаты на педагогических советах.  Внести изменения в программу повышения объективности оценки и качества образовательных результатов.</w:t>
      </w:r>
    </w:p>
    <w:p w:rsidR="00374EDC" w:rsidRPr="00F01C0E" w:rsidRDefault="00374EDC" w:rsidP="00374EDC">
      <w:pPr>
        <w:spacing w:after="2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EDC" w:rsidRPr="00F01C0E" w:rsidRDefault="00374EDC" w:rsidP="00374EDC">
      <w:pPr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КДР 4 </w:t>
      </w:r>
    </w:p>
    <w:p w:rsidR="00374EDC" w:rsidRPr="00F01C0E" w:rsidRDefault="00374EDC" w:rsidP="00374EDC">
      <w:pPr>
        <w:spacing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диагностической работе по </w:t>
      </w:r>
      <w:r w:rsidRPr="007E74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читательской грамотности</w:t>
      </w:r>
      <w:r w:rsidRPr="00F0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4-х классов приняли участие 485 выпускников из всех школ Богучанского района.</w:t>
      </w:r>
    </w:p>
    <w:p w:rsidR="00374EDC" w:rsidRPr="00F01C0E" w:rsidRDefault="00374EDC" w:rsidP="0037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Основные результаты по муниципальному образованию приведены в сопоставлении с данными, полученными на региональной репрезентативной выборке, где процедура проходила под наблюдением представителей ЦОКО (таблица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1C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4EDC" w:rsidRPr="00F01C0E" w:rsidRDefault="00374EDC" w:rsidP="00374EDC">
      <w:pPr>
        <w:tabs>
          <w:tab w:val="left" w:pos="18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1C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Таблица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374EDC" w:rsidRPr="00F01C0E" w:rsidRDefault="00374EDC" w:rsidP="00374EDC">
      <w:pPr>
        <w:tabs>
          <w:tab w:val="left" w:pos="18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1C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Основные результаты выполнения КДР 4 по ЧГ</w:t>
      </w:r>
    </w:p>
    <w:p w:rsidR="00374EDC" w:rsidRPr="00F01C0E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DC" w:rsidRPr="00F01C0E" w:rsidRDefault="00374EDC" w:rsidP="0037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3144"/>
        <w:gridCol w:w="2337"/>
        <w:gridCol w:w="1671"/>
      </w:tblGrid>
      <w:tr w:rsidR="00374EDC" w:rsidRPr="00DF0584" w:rsidTr="000C16BC">
        <w:trPr>
          <w:trHeight w:val="1101"/>
        </w:trPr>
        <w:tc>
          <w:tcPr>
            <w:tcW w:w="5915" w:type="dxa"/>
            <w:gridSpan w:val="2"/>
            <w:shd w:val="clear" w:color="auto" w:fill="auto"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lang w:eastAsia="ru-RU"/>
              </w:rPr>
              <w:t>Основные результаты выполнения диагностической работы</w:t>
            </w:r>
            <w:r w:rsidRPr="00DF058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читательской грамотности 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lang w:eastAsia="ru-RU"/>
              </w:rPr>
              <w:t>Среднее значение по муниципальному образованию (%)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lang w:eastAsia="ru-RU"/>
              </w:rPr>
              <w:t>Среднее значение по Красноярскому краю (%)</w:t>
            </w:r>
          </w:p>
        </w:tc>
      </w:tr>
      <w:tr w:rsidR="00374EDC" w:rsidRPr="00DF0584" w:rsidTr="000C16BC">
        <w:trPr>
          <w:trHeight w:val="465"/>
        </w:trPr>
        <w:tc>
          <w:tcPr>
            <w:tcW w:w="9702" w:type="dxa"/>
            <w:gridSpan w:val="4"/>
            <w:shd w:val="clear" w:color="auto" w:fill="auto"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lang w:eastAsia="ru-RU"/>
              </w:rPr>
              <w:t>Успешность выполнения</w:t>
            </w:r>
          </w:p>
        </w:tc>
      </w:tr>
      <w:tr w:rsidR="00374EDC" w:rsidRPr="00DF0584" w:rsidTr="000C16BC">
        <w:trPr>
          <w:trHeight w:val="413"/>
        </w:trPr>
        <w:tc>
          <w:tcPr>
            <w:tcW w:w="5915" w:type="dxa"/>
            <w:gridSpan w:val="2"/>
            <w:shd w:val="clear" w:color="auto" w:fill="auto"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lang w:eastAsia="ru-RU"/>
              </w:rPr>
              <w:t>Вся работа (балл по 100-балльной шкале)</w:t>
            </w:r>
          </w:p>
        </w:tc>
        <w:tc>
          <w:tcPr>
            <w:tcW w:w="2337" w:type="dxa"/>
            <w:shd w:val="clear" w:color="000000" w:fill="FFFFFF"/>
            <w:noWrap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" w:name="RANGE!E11"/>
            <w:r w:rsidRPr="00DF05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bookmarkEnd w:id="13"/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374EDC" w:rsidRPr="00DF0584" w:rsidTr="000C16BC">
        <w:trPr>
          <w:trHeight w:val="396"/>
        </w:trPr>
        <w:tc>
          <w:tcPr>
            <w:tcW w:w="2639" w:type="dxa"/>
            <w:vMerge w:val="restart"/>
            <w:shd w:val="clear" w:color="auto" w:fill="auto"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Успешность выполнения заданий по группам умений</w:t>
            </w:r>
            <w:r w:rsidRPr="00DF0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(% от максимального балла за задания данной группы)</w:t>
            </w:r>
          </w:p>
        </w:tc>
        <w:tc>
          <w:tcPr>
            <w:tcW w:w="3276" w:type="dxa"/>
            <w:shd w:val="clear" w:color="auto" w:fill="auto"/>
            <w:hideMark/>
          </w:tcPr>
          <w:p w:rsidR="00374EDC" w:rsidRPr="00DF0584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lang w:eastAsia="ru-RU"/>
              </w:rPr>
              <w:t>Поиск информации в тексте</w:t>
            </w:r>
          </w:p>
        </w:tc>
        <w:tc>
          <w:tcPr>
            <w:tcW w:w="2337" w:type="dxa"/>
            <w:shd w:val="clear" w:color="000000" w:fill="FFFFFF"/>
            <w:noWrap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" w:name="RANGE!E12"/>
            <w:r w:rsidRPr="00DF05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65,07%</w:t>
            </w:r>
            <w:bookmarkEnd w:id="14"/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64,57%</w:t>
            </w:r>
          </w:p>
        </w:tc>
      </w:tr>
      <w:tr w:rsidR="00374EDC" w:rsidRPr="00DF0584" w:rsidTr="000C16BC">
        <w:trPr>
          <w:trHeight w:val="396"/>
        </w:trPr>
        <w:tc>
          <w:tcPr>
            <w:tcW w:w="2639" w:type="dxa"/>
            <w:vMerge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hideMark/>
          </w:tcPr>
          <w:p w:rsidR="00374EDC" w:rsidRPr="00DF0584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и анализ информации </w:t>
            </w:r>
          </w:p>
        </w:tc>
        <w:tc>
          <w:tcPr>
            <w:tcW w:w="2337" w:type="dxa"/>
            <w:shd w:val="clear" w:color="000000" w:fill="FFFFFF"/>
            <w:noWrap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" w:name="RANGE!E13"/>
            <w:r w:rsidRPr="00DF05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58,28%</w:t>
            </w:r>
            <w:bookmarkEnd w:id="15"/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61,45%</w:t>
            </w:r>
          </w:p>
        </w:tc>
      </w:tr>
      <w:tr w:rsidR="00374EDC" w:rsidRPr="00DF0584" w:rsidTr="000C16BC">
        <w:trPr>
          <w:trHeight w:val="430"/>
        </w:trPr>
        <w:tc>
          <w:tcPr>
            <w:tcW w:w="2639" w:type="dxa"/>
            <w:vMerge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hideMark/>
          </w:tcPr>
          <w:p w:rsidR="00374EDC" w:rsidRPr="00DF0584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lang w:eastAsia="ru-RU"/>
              </w:rPr>
              <w:t xml:space="preserve">Оценка и использование информации </w:t>
            </w:r>
          </w:p>
        </w:tc>
        <w:tc>
          <w:tcPr>
            <w:tcW w:w="2337" w:type="dxa"/>
            <w:shd w:val="clear" w:color="000000" w:fill="FFFFFF"/>
            <w:noWrap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" w:name="RANGE!E14"/>
            <w:r w:rsidRPr="00DF05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38,63%</w:t>
            </w:r>
            <w:bookmarkEnd w:id="16"/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33,81%</w:t>
            </w:r>
          </w:p>
        </w:tc>
      </w:tr>
      <w:tr w:rsidR="00374EDC" w:rsidRPr="00DF0584" w:rsidTr="000C16BC">
        <w:trPr>
          <w:trHeight w:val="447"/>
        </w:trPr>
        <w:tc>
          <w:tcPr>
            <w:tcW w:w="9702" w:type="dxa"/>
            <w:gridSpan w:val="4"/>
            <w:shd w:val="clear" w:color="auto" w:fill="auto"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lang w:eastAsia="ru-RU"/>
              </w:rPr>
              <w:t>Уровни достижений (% учащихся)</w:t>
            </w:r>
          </w:p>
        </w:tc>
      </w:tr>
      <w:tr w:rsidR="00374EDC" w:rsidRPr="00DF0584" w:rsidTr="000C16BC">
        <w:trPr>
          <w:trHeight w:val="447"/>
        </w:trPr>
        <w:tc>
          <w:tcPr>
            <w:tcW w:w="5915" w:type="dxa"/>
            <w:gridSpan w:val="2"/>
            <w:shd w:val="clear" w:color="auto" w:fill="auto"/>
            <w:hideMark/>
          </w:tcPr>
          <w:p w:rsidR="00374EDC" w:rsidRPr="00DF0584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lang w:eastAsia="ru-RU"/>
              </w:rPr>
              <w:t>Преодолели границу пониженного (порогового) уровня (% учащихся)</w:t>
            </w:r>
          </w:p>
        </w:tc>
        <w:tc>
          <w:tcPr>
            <w:tcW w:w="2337" w:type="dxa"/>
            <w:shd w:val="clear" w:color="000000" w:fill="FFFFFF"/>
            <w:noWrap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" w:name="RANGE!E16"/>
            <w:r w:rsidRPr="00DF05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84,33%</w:t>
            </w:r>
            <w:bookmarkEnd w:id="17"/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74EDC" w:rsidRPr="00DF0584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584">
              <w:rPr>
                <w:rFonts w:ascii="Times New Roman" w:eastAsia="Times New Roman" w:hAnsi="Times New Roman" w:cs="Times New Roman"/>
                <w:lang w:eastAsia="ru-RU"/>
              </w:rPr>
              <w:t>84,77%</w:t>
            </w:r>
          </w:p>
        </w:tc>
      </w:tr>
    </w:tbl>
    <w:p w:rsidR="00374EDC" w:rsidRPr="00C27698" w:rsidRDefault="00374EDC" w:rsidP="0037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DA6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Из представленной таблицы можно сделать вывод, что большая часть  результатов  обучающихся 4 классов школ Богучанского района приближены к краевым результатам.</w:t>
      </w:r>
    </w:p>
    <w:p w:rsidR="00374EDC" w:rsidRPr="00C27698" w:rsidRDefault="00374EDC" w:rsidP="0037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таблицы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видно, что результатов базового </w:t>
      </w:r>
      <w:r w:rsidRPr="00C2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в районе несколько больш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чем в представленной выборке, остальные результаты ниже краевых. Обучающихся с недостаточным уровнем около 16 %.</w:t>
      </w:r>
    </w:p>
    <w:p w:rsidR="00374EDC" w:rsidRPr="00C27698" w:rsidRDefault="00374EDC" w:rsidP="0037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DC" w:rsidRPr="00255F27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5F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Таблица № 3 </w:t>
      </w:r>
    </w:p>
    <w:p w:rsidR="00374EDC" w:rsidRPr="00255F27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5F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Уровни достижения КДР 4 по ЧГ </w:t>
      </w:r>
    </w:p>
    <w:p w:rsidR="00374EDC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374EDC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tbl>
      <w:tblPr>
        <w:tblW w:w="893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708"/>
        <w:gridCol w:w="1839"/>
        <w:gridCol w:w="1737"/>
        <w:gridCol w:w="1664"/>
      </w:tblGrid>
      <w:tr w:rsidR="00374EDC" w:rsidRPr="00C27698" w:rsidTr="000C16BC">
        <w:trPr>
          <w:trHeight w:val="397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374EDC" w:rsidRPr="00C27698" w:rsidTr="000C16BC">
        <w:trPr>
          <w:trHeight w:val="378"/>
        </w:trPr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Пониженный (пороговый)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Повышенный</w:t>
            </w:r>
          </w:p>
        </w:tc>
      </w:tr>
      <w:tr w:rsidR="00374EDC" w:rsidRPr="00C27698" w:rsidTr="000C16BC">
        <w:trPr>
          <w:trHeight w:val="793"/>
        </w:trPr>
        <w:tc>
          <w:tcPr>
            <w:tcW w:w="1986" w:type="dxa"/>
            <w:shd w:val="clear" w:color="000000" w:fill="FFFFFF"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(%)</w:t>
            </w:r>
          </w:p>
        </w:tc>
        <w:tc>
          <w:tcPr>
            <w:tcW w:w="1708" w:type="dxa"/>
            <w:shd w:val="clear" w:color="000000" w:fill="FFFFFF"/>
            <w:noWrap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RANGE!C39"/>
            <w:r w:rsidRPr="00C2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15,67%</w:t>
            </w:r>
            <w:bookmarkEnd w:id="18"/>
          </w:p>
        </w:tc>
        <w:tc>
          <w:tcPr>
            <w:tcW w:w="1839" w:type="dxa"/>
            <w:shd w:val="clear" w:color="000000" w:fill="FFFFFF"/>
            <w:noWrap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23,09%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45,15%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16,08%</w:t>
            </w:r>
          </w:p>
        </w:tc>
      </w:tr>
      <w:tr w:rsidR="00374EDC" w:rsidRPr="00C27698" w:rsidTr="000C16BC">
        <w:trPr>
          <w:trHeight w:val="397"/>
        </w:trPr>
        <w:tc>
          <w:tcPr>
            <w:tcW w:w="1986" w:type="dxa"/>
            <w:shd w:val="clear" w:color="000000" w:fill="FFFFFF"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 (%)</w:t>
            </w:r>
          </w:p>
        </w:tc>
        <w:tc>
          <w:tcPr>
            <w:tcW w:w="1708" w:type="dxa"/>
            <w:shd w:val="clear" w:color="000000" w:fill="FFFFFF"/>
            <w:noWrap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15,23%</w:t>
            </w:r>
          </w:p>
        </w:tc>
        <w:tc>
          <w:tcPr>
            <w:tcW w:w="1839" w:type="dxa"/>
            <w:shd w:val="clear" w:color="000000" w:fill="FFFFFF"/>
            <w:noWrap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27,48%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34,33%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:rsidR="00374EDC" w:rsidRPr="00C27698" w:rsidRDefault="00374EDC" w:rsidP="000C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22,96%</w:t>
            </w:r>
          </w:p>
        </w:tc>
      </w:tr>
    </w:tbl>
    <w:p w:rsidR="00374EDC" w:rsidRDefault="00374EDC" w:rsidP="00374E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374EDC" w:rsidRPr="00DA6D82" w:rsidRDefault="00374EDC" w:rsidP="0037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74EDC" w:rsidRDefault="00374EDC" w:rsidP="0037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КДР 4 по </w:t>
      </w:r>
      <w:r w:rsidRPr="007E74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групповому проекту</w:t>
      </w:r>
      <w:r w:rsidRPr="008A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478  четвероклассников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EDC" w:rsidRDefault="00374EDC" w:rsidP="0037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180"/>
        <w:gridCol w:w="2180"/>
        <w:gridCol w:w="2180"/>
        <w:gridCol w:w="2181"/>
      </w:tblGrid>
      <w:tr w:rsidR="00374EDC" w:rsidTr="000C16BC">
        <w:tc>
          <w:tcPr>
            <w:tcW w:w="4360" w:type="dxa"/>
            <w:gridSpan w:val="2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проект</w:t>
            </w:r>
          </w:p>
        </w:tc>
        <w:tc>
          <w:tcPr>
            <w:tcW w:w="2180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назначение в МО (%)</w:t>
            </w:r>
          </w:p>
        </w:tc>
        <w:tc>
          <w:tcPr>
            <w:tcW w:w="2181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 по краю (%)</w:t>
            </w:r>
          </w:p>
        </w:tc>
      </w:tr>
      <w:tr w:rsidR="00374EDC" w:rsidTr="000C16BC">
        <w:tc>
          <w:tcPr>
            <w:tcW w:w="2180" w:type="dxa"/>
            <w:vMerge w:val="restart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Успешность выполнения (% от максимального балла)</w:t>
            </w:r>
          </w:p>
        </w:tc>
        <w:tc>
          <w:tcPr>
            <w:tcW w:w="2180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проект (общий балл)</w:t>
            </w:r>
          </w:p>
        </w:tc>
        <w:tc>
          <w:tcPr>
            <w:tcW w:w="2180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2181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</w:tr>
      <w:tr w:rsidR="00374EDC" w:rsidTr="000C16BC">
        <w:tc>
          <w:tcPr>
            <w:tcW w:w="2180" w:type="dxa"/>
            <w:vMerge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действия</w:t>
            </w:r>
          </w:p>
        </w:tc>
        <w:tc>
          <w:tcPr>
            <w:tcW w:w="2180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66,82</w:t>
            </w:r>
          </w:p>
        </w:tc>
        <w:tc>
          <w:tcPr>
            <w:tcW w:w="2181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71,11</w:t>
            </w:r>
          </w:p>
        </w:tc>
      </w:tr>
      <w:tr w:rsidR="00374EDC" w:rsidTr="000C16BC">
        <w:tc>
          <w:tcPr>
            <w:tcW w:w="2180" w:type="dxa"/>
            <w:vMerge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действия</w:t>
            </w:r>
          </w:p>
        </w:tc>
        <w:tc>
          <w:tcPr>
            <w:tcW w:w="2180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81,41</w:t>
            </w:r>
          </w:p>
        </w:tc>
        <w:tc>
          <w:tcPr>
            <w:tcW w:w="2181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82,33</w:t>
            </w:r>
          </w:p>
        </w:tc>
      </w:tr>
      <w:tr w:rsidR="00374EDC" w:rsidTr="000C16BC">
        <w:tc>
          <w:tcPr>
            <w:tcW w:w="2180" w:type="dxa"/>
            <w:vMerge w:val="restart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Уровни достижений (% обучающихся)</w:t>
            </w:r>
          </w:p>
        </w:tc>
        <w:tc>
          <w:tcPr>
            <w:tcW w:w="2180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Достигли базового уровня (вкл повышенный)</w:t>
            </w:r>
          </w:p>
        </w:tc>
        <w:tc>
          <w:tcPr>
            <w:tcW w:w="2180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91,84</w:t>
            </w:r>
          </w:p>
        </w:tc>
        <w:tc>
          <w:tcPr>
            <w:tcW w:w="2181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96,18</w:t>
            </w:r>
          </w:p>
        </w:tc>
      </w:tr>
      <w:tr w:rsidR="00374EDC" w:rsidTr="000C16BC">
        <w:tc>
          <w:tcPr>
            <w:tcW w:w="2180" w:type="dxa"/>
            <w:vMerge/>
          </w:tcPr>
          <w:p w:rsidR="00374EDC" w:rsidRDefault="00374EDC" w:rsidP="000C1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2180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41,63</w:t>
            </w:r>
          </w:p>
        </w:tc>
        <w:tc>
          <w:tcPr>
            <w:tcW w:w="2181" w:type="dxa"/>
          </w:tcPr>
          <w:p w:rsidR="00374EDC" w:rsidRDefault="00374EDC" w:rsidP="000C1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</w:tbl>
    <w:p w:rsidR="00374EDC" w:rsidRPr="008A6B28" w:rsidRDefault="00374EDC" w:rsidP="0037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DC" w:rsidRPr="00122746" w:rsidRDefault="00374EDC" w:rsidP="0037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базовый уровень выполнили работу 50,21% обучающихся, повышенный уровень определен у 41,63%.</w:t>
      </w:r>
    </w:p>
    <w:p w:rsidR="00374EDC" w:rsidRPr="00DA6D82" w:rsidRDefault="00374EDC" w:rsidP="0037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74EDC" w:rsidRDefault="00374EDC" w:rsidP="00374E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КДР  были проанализированы учителями 4-х </w:t>
      </w:r>
      <w:r w:rsidRPr="00291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почти</w:t>
      </w:r>
      <w:r w:rsidRPr="009E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 анализа БСШ № 3)</w:t>
      </w:r>
      <w:r w:rsidRPr="009E3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EDC" w:rsidRPr="00990CBE" w:rsidRDefault="00374EDC" w:rsidP="0037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90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Основными причинами не высоких результатов в четвертых классов педагоги считают следующие: </w:t>
      </w:r>
    </w:p>
    <w:p w:rsidR="00374EDC" w:rsidRPr="0017680B" w:rsidRDefault="00374EDC" w:rsidP="00374ED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17680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задания по формированию читательской грамотности используются недостаточно, они не встраиваются в различные этапы урока, недостаточно присутствуют в домашних заданиях по учебным предметам в начальной школе;</w:t>
      </w:r>
    </w:p>
    <w:p w:rsidR="00374EDC" w:rsidRPr="0017680B" w:rsidRDefault="00374EDC" w:rsidP="00374ED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17680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недостаточное использование информации из текста для решения новых учебно-познавательных и учебно-практических задач без привлечения дополнительных знаний и личного опыта ученика, выработка собственного обоснованного мнения;</w:t>
      </w:r>
    </w:p>
    <w:p w:rsidR="00374EDC" w:rsidRDefault="00374EDC" w:rsidP="00374ED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17680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работа по формированию читательской грамотности носит не систематический характер.</w:t>
      </w:r>
    </w:p>
    <w:p w:rsidR="00374EDC" w:rsidRPr="00663976" w:rsidRDefault="00374EDC" w:rsidP="0037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Что касается рекомендаций, можно сказать большая их часть носит формальный характер: </w:t>
      </w:r>
      <w:r w:rsidRPr="00CB105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использовать</w:t>
      </w:r>
      <w:r w:rsidRPr="0066397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на</w:t>
      </w:r>
      <w:r w:rsidRPr="0066397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уроках</w:t>
      </w:r>
      <w:r w:rsidRPr="0066397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приемы</w:t>
      </w:r>
      <w:r w:rsidRPr="0066397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и</w:t>
      </w:r>
      <w:r w:rsidRPr="006639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методы работы, способствующие </w:t>
      </w:r>
      <w:r w:rsidRPr="00663976">
        <w:rPr>
          <w:rFonts w:ascii="Times New Roman" w:hAnsi="Times New Roman" w:cs="Times New Roman"/>
          <w:sz w:val="24"/>
          <w:szCs w:val="24"/>
        </w:rPr>
        <w:t>формированию</w:t>
      </w:r>
      <w:r w:rsidRPr="00663976">
        <w:rPr>
          <w:rFonts w:ascii="Times New Roman" w:hAnsi="Times New Roman" w:cs="Times New Roman"/>
          <w:sz w:val="24"/>
          <w:szCs w:val="24"/>
        </w:rPr>
        <w:tab/>
        <w:t xml:space="preserve">читательских </w:t>
      </w:r>
      <w:r w:rsidRPr="0066397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умений;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организовать</w:t>
      </w:r>
      <w:r w:rsidRPr="0066397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индивидуальную</w:t>
      </w:r>
      <w:r w:rsidRPr="0066397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работу</w:t>
      </w:r>
      <w:r w:rsidRPr="0066397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с</w:t>
      </w:r>
      <w:r w:rsidRPr="0066397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обучающимися,</w:t>
      </w:r>
      <w:r w:rsidRPr="0066397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имеющими</w:t>
      </w:r>
      <w:r w:rsidRPr="0066397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низкие</w:t>
      </w:r>
      <w:r w:rsidRPr="0066397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результаты</w:t>
      </w:r>
      <w:r w:rsidRPr="0066397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по</w:t>
      </w:r>
      <w:r w:rsidRPr="0066397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итогам</w:t>
      </w:r>
      <w:r w:rsidRPr="0066397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выполнения</w:t>
      </w:r>
      <w:r w:rsidRPr="0066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диагностической</w:t>
      </w:r>
      <w:r w:rsidRPr="006639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976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. Лишь в нескольких школах в рекомендациях указаны конкретные приемы работы с детьми: Гремучинская, Красногорьевская, Пинчугская, Нижнетерянская, Такучетская школы.</w:t>
      </w:r>
    </w:p>
    <w:p w:rsidR="00374EDC" w:rsidRPr="00FC16FB" w:rsidRDefault="00374EDC" w:rsidP="0037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74EDC" w:rsidRPr="00FC16FB" w:rsidRDefault="00374EDC" w:rsidP="00374EDC">
      <w:pPr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образования рекомендовано следующее: </w:t>
      </w:r>
    </w:p>
    <w:p w:rsidR="00374EDC" w:rsidRPr="00FC16FB" w:rsidRDefault="00374EDC" w:rsidP="00374EDC">
      <w:pPr>
        <w:pStyle w:val="a4"/>
        <w:numPr>
          <w:ilvl w:val="0"/>
          <w:numId w:val="1"/>
        </w:numPr>
        <w:spacing w:after="26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разбор ошибок с детьми, допущенных ими на КДР.</w:t>
      </w:r>
    </w:p>
    <w:p w:rsidR="00374EDC" w:rsidRPr="00FC16FB" w:rsidRDefault="00374EDC" w:rsidP="00374EDC">
      <w:pPr>
        <w:pStyle w:val="a4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банки тренировочных заданий РЭШ на уроках и во внеурочных занятиях.</w:t>
      </w:r>
    </w:p>
    <w:p w:rsidR="00374EDC" w:rsidRPr="00FC16FB" w:rsidRDefault="00374EDC" w:rsidP="00374EDC">
      <w:pPr>
        <w:pStyle w:val="a4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входную диагностику обучающихся.</w:t>
      </w:r>
    </w:p>
    <w:p w:rsidR="00374EDC" w:rsidRPr="00FC16FB" w:rsidRDefault="00374EDC" w:rsidP="00374EDC">
      <w:pPr>
        <w:pStyle w:val="a4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школьные семинары/педсоветы/совещания по вопросам формирования грамотностей. </w:t>
      </w:r>
    </w:p>
    <w:p w:rsidR="00374EDC" w:rsidRPr="00FC16FB" w:rsidRDefault="00374EDC" w:rsidP="00374EDC">
      <w:pPr>
        <w:pStyle w:val="a4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включать в урочные занятия работу с различными текстами.</w:t>
      </w:r>
    </w:p>
    <w:p w:rsidR="00374EDC" w:rsidRPr="00FC16FB" w:rsidRDefault="00374EDC" w:rsidP="00374EDC">
      <w:pPr>
        <w:pStyle w:val="a4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 уроках методы и приемы, формирующие  функциональную грамотность (далее – ФГ) у обучающихся.</w:t>
      </w:r>
    </w:p>
    <w:p w:rsidR="00374EDC" w:rsidRPr="00FC16FB" w:rsidRDefault="00374EDC" w:rsidP="00374EDC">
      <w:pPr>
        <w:pStyle w:val="a4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мониторинги профессиональных дефицитов педагогов по вопросам формировании ФГ.</w:t>
      </w:r>
    </w:p>
    <w:p w:rsidR="00374EDC" w:rsidRPr="00FC16FB" w:rsidRDefault="00374EDC" w:rsidP="00374EDC">
      <w:pPr>
        <w:pStyle w:val="a4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 усилить контроль за формированием ФГ на уроках и внеурочных занятиях через использование банка заданий РЭШ и других источников.</w:t>
      </w:r>
    </w:p>
    <w:p w:rsidR="00374EDC" w:rsidRPr="00FC16FB" w:rsidRDefault="00374EDC" w:rsidP="00374EDC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КДР объективно подходить к оцениванию результатов, а также повысить контроль за порядком  проведением диагностических процедур.    </w:t>
      </w:r>
    </w:p>
    <w:p w:rsidR="00374EDC" w:rsidRPr="00FC16FB" w:rsidRDefault="00374EDC" w:rsidP="0037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DC" w:rsidRPr="00FC16FB" w:rsidRDefault="00374EDC" w:rsidP="0037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муниципалитете   продолжить практику перекрестной или муниципальной проверки силами педагогов, способных осуществлять независимую оценку работ обучающихся. Также расширить общественное наблюдение  за процедурой проведения КДР силами специалистов управления образования и методистов.</w:t>
      </w:r>
    </w:p>
    <w:p w:rsidR="00FC5C29" w:rsidRDefault="008650EB"/>
    <w:sectPr w:rsidR="00FC5C29" w:rsidSect="0098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9D7"/>
    <w:multiLevelType w:val="hybridMultilevel"/>
    <w:tmpl w:val="EB42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312FA"/>
    <w:multiLevelType w:val="hybridMultilevel"/>
    <w:tmpl w:val="0B38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61A41"/>
    <w:multiLevelType w:val="hybridMultilevel"/>
    <w:tmpl w:val="C9F8D308"/>
    <w:lvl w:ilvl="0" w:tplc="8D7AF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25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49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6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C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AE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EB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C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6E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14FD3"/>
    <w:multiLevelType w:val="hybridMultilevel"/>
    <w:tmpl w:val="01B249AA"/>
    <w:lvl w:ilvl="0" w:tplc="3E8E5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74EDC"/>
    <w:rsid w:val="000C716F"/>
    <w:rsid w:val="00175486"/>
    <w:rsid w:val="001F1641"/>
    <w:rsid w:val="00374EDC"/>
    <w:rsid w:val="005129B7"/>
    <w:rsid w:val="005C421D"/>
    <w:rsid w:val="008650EB"/>
    <w:rsid w:val="009813B3"/>
    <w:rsid w:val="00985379"/>
    <w:rsid w:val="00A07BAB"/>
    <w:rsid w:val="00B9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74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74ED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374EDC"/>
  </w:style>
  <w:style w:type="character" w:customStyle="1" w:styleId="FontStyle81">
    <w:name w:val="Font Style81"/>
    <w:basedOn w:val="a0"/>
    <w:uiPriority w:val="99"/>
    <w:rsid w:val="00374EDC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chart" Target="charts/chart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Users\Userruo\Desktop\&#1050;&#1044;&#1056;%206\&#1041;&#1086;&#1075;&#1091;&#1095;&#1072;&#1085;&#1089;&#1082;&#1080;&#1081;%20&#1088;&#1072;&#1081;&#1086;&#1085;_&#1052;&#1091;&#1085;&#1080;&#1094;&#1080;&#1087;&#1072;&#1083;&#1100;&#1085;&#1099;&#1081;%20&#1086;&#1090;&#1095;&#1077;&#1090;_&#1050;&#1044;&#1056;6_2023-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0;&#1044;&#1056;%206\&#1056;&#1077;&#1079;&#1091;&#1083;&#1100;&#1090;&#1072;&#1090;&#1099;%20&#1050;&#1044;&#1056;%206%202023-24%20&#1091;&#1095;%20&#1075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0;&#1044;&#1056;%208%202024%20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6;&#1072;&#1079;&#1085;&#1086;&#1077;\&#1050;&#1044;&#1056;\&#1050;&#1044;&#1056;%202022-23\&#1050;&#1044;&#1056;%208\&#1056;&#1077;&#1079;&#1091;&#1083;&#1100;&#1090;&#1072;&#1090;&#1099;%20&#1050;&#1044;&#1056;%208%20&#1086;&#1090;%20&#1054;&#105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3150071410444485E-2"/>
          <c:y val="2.3765371968844592E-2"/>
          <c:w val="0.8497017059655777"/>
          <c:h val="0.79803946515687063"/>
        </c:manualLayout>
      </c:layout>
      <c:barChart>
        <c:barDir val="bar"/>
        <c:grouping val="percentStacked"/>
        <c:ser>
          <c:idx val="0"/>
          <c:order val="0"/>
          <c:tx>
            <c:strRef>
              <c:f>Лист1!$B$2</c:f>
              <c:strCache>
                <c:ptCount val="1"/>
                <c:pt idx="0">
                  <c:v>Пониженный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Лист1!$A$3:$A$4</c:f>
              <c:numCache>
                <c:formatCode>General</c:formatCode>
                <c:ptCount val="2"/>
              </c:numCache>
            </c:numRef>
          </c:cat>
          <c:val>
            <c:numRef>
              <c:f>Лист1!$B$3:$B$4</c:f>
              <c:numCache>
                <c:formatCode>0.00%</c:formatCode>
                <c:ptCount val="2"/>
                <c:pt idx="0">
                  <c:v>0.30170777988614988</c:v>
                </c:pt>
                <c:pt idx="1">
                  <c:v>0.33258426966292798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Недостаточный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Лист1!$A$3:$A$4</c:f>
              <c:numCache>
                <c:formatCode>General</c:formatCode>
                <c:ptCount val="2"/>
              </c:numCache>
            </c:numRef>
          </c:cat>
          <c:val>
            <c:numRef>
              <c:f>Лист1!$C$3:$C$4</c:f>
              <c:numCache>
                <c:formatCode>0.00%</c:formatCode>
                <c:ptCount val="2"/>
                <c:pt idx="0">
                  <c:v>-0.18970000000000145</c:v>
                </c:pt>
                <c:pt idx="1">
                  <c:v>-0.18876404494382187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Базовый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Лист1!$A$3:$A$4</c:f>
              <c:numCache>
                <c:formatCode>General</c:formatCode>
                <c:ptCount val="2"/>
              </c:numCache>
            </c:numRef>
          </c:cat>
          <c:val>
            <c:numRef>
              <c:f>Лист1!$D$3:$D$4</c:f>
              <c:numCache>
                <c:formatCode>0.00%</c:formatCode>
                <c:ptCount val="2"/>
                <c:pt idx="0">
                  <c:v>0.42125237191650888</c:v>
                </c:pt>
                <c:pt idx="1">
                  <c:v>0.42921348314606983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cat>
            <c:numRef>
              <c:f>Лист1!$A$3:$A$4</c:f>
              <c:numCache>
                <c:formatCode>General</c:formatCode>
                <c:ptCount val="2"/>
              </c:numCache>
            </c:numRef>
          </c:cat>
          <c:val>
            <c:numRef>
              <c:f>Лист1!$E$3:$E$4</c:f>
              <c:numCache>
                <c:formatCode>0.00%</c:formatCode>
                <c:ptCount val="2"/>
                <c:pt idx="0">
                  <c:v>8.7286527514231493E-2</c:v>
                </c:pt>
                <c:pt idx="1">
                  <c:v>4.943820224719174E-2</c:v>
                </c:pt>
              </c:numCache>
            </c:numRef>
          </c:val>
        </c:ser>
        <c:gapWidth val="75"/>
        <c:overlap val="100"/>
        <c:axId val="55277440"/>
        <c:axId val="55278976"/>
      </c:barChart>
      <c:catAx>
        <c:axId val="55277440"/>
        <c:scaling>
          <c:orientation val="minMax"/>
        </c:scaling>
        <c:axPos val="l"/>
        <c:numFmt formatCode="General" sourceLinked="1"/>
        <c:majorTickMark val="none"/>
        <c:tickLblPos val="nextTo"/>
        <c:crossAx val="55278976"/>
        <c:crosses val="autoZero"/>
        <c:auto val="1"/>
        <c:lblAlgn val="ctr"/>
        <c:lblOffset val="100"/>
      </c:catAx>
      <c:valAx>
        <c:axId val="55278976"/>
        <c:scaling>
          <c:orientation val="minMax"/>
        </c:scaling>
        <c:axPos val="b"/>
        <c:numFmt formatCode="#,##0%;#,##0%;0" sourceLinked="0"/>
        <c:tickLblPos val="nextTo"/>
        <c:crossAx val="5527744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baseline="0">
          <a:latin typeface="Arial Narrow" pitchFamily="34" charset="0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 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30"/>
            <c:spPr>
              <a:solidFill>
                <a:schemeClr val="accent2"/>
              </a:solidFill>
            </c:spPr>
          </c:dPt>
          <c:dPt>
            <c:idx val="31"/>
            <c:spPr>
              <a:solidFill>
                <a:srgbClr val="00B050"/>
              </a:solidFill>
            </c:spPr>
          </c:dPt>
          <c:dLbls>
            <c:showVal val="1"/>
          </c:dLbls>
          <c:cat>
            <c:strRef>
              <c:f>Лист1!$A$42:$A$73</c:f>
              <c:strCache>
                <c:ptCount val="32"/>
                <c:pt idx="0">
                  <c:v>Ангарская</c:v>
                </c:pt>
                <c:pt idx="1">
                  <c:v>Артюгинская</c:v>
                </c:pt>
                <c:pt idx="2">
                  <c:v>Богучанская № 1 6а</c:v>
                </c:pt>
                <c:pt idx="3">
                  <c:v>Богучанская № 1 6б</c:v>
                </c:pt>
                <c:pt idx="4">
                  <c:v>Богучанская № 2 6а</c:v>
                </c:pt>
                <c:pt idx="5">
                  <c:v>Богучанская № 2 6б</c:v>
                </c:pt>
                <c:pt idx="6">
                  <c:v>Богучанская № 3 6а</c:v>
                </c:pt>
                <c:pt idx="7">
                  <c:v>Богучанская № 3 6 б</c:v>
                </c:pt>
                <c:pt idx="8">
                  <c:v>Богучанская № 4 6а</c:v>
                </c:pt>
                <c:pt idx="9">
                  <c:v>Богучанская № 4 6б</c:v>
                </c:pt>
                <c:pt idx="10">
                  <c:v>Говорковская</c:v>
                </c:pt>
                <c:pt idx="11">
                  <c:v>Гремучинская</c:v>
                </c:pt>
                <c:pt idx="12">
                  <c:v>Красногорьевская</c:v>
                </c:pt>
                <c:pt idx="13">
                  <c:v>Манзенская</c:v>
                </c:pt>
                <c:pt idx="14">
                  <c:v>Невонская</c:v>
                </c:pt>
                <c:pt idx="15">
                  <c:v>Нижнетерянская</c:v>
                </c:pt>
                <c:pt idx="16">
                  <c:v>Новохайская</c:v>
                </c:pt>
                <c:pt idx="17">
                  <c:v>Октябрьская</c:v>
                </c:pt>
                <c:pt idx="18">
                  <c:v>Осиновская</c:v>
                </c:pt>
                <c:pt idx="19">
                  <c:v>Пинчугская</c:v>
                </c:pt>
                <c:pt idx="20">
                  <c:v>Таежнинская № 7 6а</c:v>
                </c:pt>
                <c:pt idx="21">
                  <c:v>Таежнинская № 7 6б</c:v>
                </c:pt>
                <c:pt idx="22">
                  <c:v>Таежнинская № 7 6в</c:v>
                </c:pt>
                <c:pt idx="23">
                  <c:v>Таежнинская № 20 6 а</c:v>
                </c:pt>
                <c:pt idx="24">
                  <c:v>Таежнинская № 20 6б</c:v>
                </c:pt>
                <c:pt idx="25">
                  <c:v>Такучетская</c:v>
                </c:pt>
                <c:pt idx="26">
                  <c:v>Хребтовская</c:v>
                </c:pt>
                <c:pt idx="27">
                  <c:v>Чуноярская 6а</c:v>
                </c:pt>
                <c:pt idx="28">
                  <c:v>Чуноярская 6б</c:v>
                </c:pt>
                <c:pt idx="29">
                  <c:v>Шиверская</c:v>
                </c:pt>
                <c:pt idx="30">
                  <c:v>РАЙОН</c:v>
                </c:pt>
                <c:pt idx="31">
                  <c:v>КРАЙ</c:v>
                </c:pt>
              </c:strCache>
            </c:strRef>
          </c:cat>
          <c:val>
            <c:numRef>
              <c:f>Лист1!$B$42:$B$73</c:f>
              <c:numCache>
                <c:formatCode>0</c:formatCode>
                <c:ptCount val="32"/>
                <c:pt idx="0">
                  <c:v>54.190000000000012</c:v>
                </c:pt>
                <c:pt idx="1">
                  <c:v>53.83</c:v>
                </c:pt>
                <c:pt idx="2">
                  <c:v>61</c:v>
                </c:pt>
                <c:pt idx="3">
                  <c:v>57.06</c:v>
                </c:pt>
                <c:pt idx="4">
                  <c:v>55.08</c:v>
                </c:pt>
                <c:pt idx="5">
                  <c:v>60.32</c:v>
                </c:pt>
                <c:pt idx="6">
                  <c:v>36.25</c:v>
                </c:pt>
                <c:pt idx="7">
                  <c:v>38.33</c:v>
                </c:pt>
                <c:pt idx="8">
                  <c:v>57.44</c:v>
                </c:pt>
                <c:pt idx="9">
                  <c:v>51.46</c:v>
                </c:pt>
                <c:pt idx="10">
                  <c:v>56.78</c:v>
                </c:pt>
                <c:pt idx="11">
                  <c:v>55.13</c:v>
                </c:pt>
                <c:pt idx="12">
                  <c:v>55</c:v>
                </c:pt>
                <c:pt idx="13">
                  <c:v>56.4</c:v>
                </c:pt>
                <c:pt idx="14">
                  <c:v>58.5</c:v>
                </c:pt>
                <c:pt idx="15">
                  <c:v>60.4</c:v>
                </c:pt>
                <c:pt idx="16">
                  <c:v>54</c:v>
                </c:pt>
                <c:pt idx="17">
                  <c:v>53.58</c:v>
                </c:pt>
                <c:pt idx="18">
                  <c:v>49.4</c:v>
                </c:pt>
                <c:pt idx="19">
                  <c:v>49.58</c:v>
                </c:pt>
                <c:pt idx="20">
                  <c:v>53.41</c:v>
                </c:pt>
                <c:pt idx="21">
                  <c:v>58.21</c:v>
                </c:pt>
                <c:pt idx="22">
                  <c:v>57.290000000000013</c:v>
                </c:pt>
                <c:pt idx="23">
                  <c:v>51.06</c:v>
                </c:pt>
                <c:pt idx="24">
                  <c:v>54.27</c:v>
                </c:pt>
                <c:pt idx="25">
                  <c:v>65.8</c:v>
                </c:pt>
                <c:pt idx="26">
                  <c:v>48.67</c:v>
                </c:pt>
                <c:pt idx="27">
                  <c:v>60.67</c:v>
                </c:pt>
                <c:pt idx="28">
                  <c:v>50.730000000000011</c:v>
                </c:pt>
                <c:pt idx="29">
                  <c:v>55.879999999999995</c:v>
                </c:pt>
                <c:pt idx="30">
                  <c:v>54</c:v>
                </c:pt>
                <c:pt idx="31">
                  <c:v>54.849999999999994</c:v>
                </c:pt>
              </c:numCache>
            </c:numRef>
          </c:val>
        </c:ser>
        <c:axId val="122477184"/>
        <c:axId val="55247232"/>
      </c:barChart>
      <c:catAx>
        <c:axId val="122477184"/>
        <c:scaling>
          <c:orientation val="minMax"/>
        </c:scaling>
        <c:axPos val="b"/>
        <c:tickLblPos val="nextTo"/>
        <c:crossAx val="55247232"/>
        <c:crosses val="autoZero"/>
        <c:auto val="1"/>
        <c:lblAlgn val="ctr"/>
        <c:lblOffset val="100"/>
      </c:catAx>
      <c:valAx>
        <c:axId val="55247232"/>
        <c:scaling>
          <c:orientation val="minMax"/>
        </c:scaling>
        <c:axPos val="l"/>
        <c:majorGridlines/>
        <c:numFmt formatCode="0" sourceLinked="1"/>
        <c:tickLblPos val="nextTo"/>
        <c:crossAx val="12247718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Количество несовпадений по предметным областям</a:t>
            </a:r>
            <a:endParaRPr lang="ru-RU" dirty="0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Лист1!$B$3:$B$6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История</c:v>
                </c:pt>
                <c:pt idx="3">
                  <c:v>Естествознание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40</c:v>
                </c:pt>
                <c:pt idx="1">
                  <c:v>22</c:v>
                </c:pt>
                <c:pt idx="2">
                  <c:v>25</c:v>
                </c:pt>
                <c:pt idx="3">
                  <c:v>35</c:v>
                </c:pt>
              </c:numCache>
            </c:numRef>
          </c:val>
        </c:ser>
        <c:axId val="55311744"/>
        <c:axId val="122430592"/>
      </c:barChart>
      <c:catAx>
        <c:axId val="55311744"/>
        <c:scaling>
          <c:orientation val="minMax"/>
        </c:scaling>
        <c:axPos val="b"/>
        <c:tickLblPos val="nextTo"/>
        <c:crossAx val="122430592"/>
        <c:crosses val="autoZero"/>
        <c:auto val="1"/>
        <c:lblAlgn val="ctr"/>
        <c:lblOffset val="100"/>
      </c:catAx>
      <c:valAx>
        <c:axId val="122430592"/>
        <c:scaling>
          <c:orientation val="minMax"/>
        </c:scaling>
        <c:axPos val="l"/>
        <c:majorGridlines/>
        <c:numFmt formatCode="General" sourceLinked="1"/>
        <c:tickLblPos val="nextTo"/>
        <c:crossAx val="5531174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Ниже базового КДР 8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Лист1!$B$79</c:f>
              <c:strCache>
                <c:ptCount val="1"/>
                <c:pt idx="0">
                  <c:v>Ниже базового</c:v>
                </c:pt>
              </c:strCache>
            </c:strRef>
          </c:tx>
          <c:dLbls>
            <c:showVal val="1"/>
          </c:dLbls>
          <c:cat>
            <c:strRef>
              <c:f>Лист1!$A$80:$A$111</c:f>
              <c:strCache>
                <c:ptCount val="32"/>
                <c:pt idx="0">
                  <c:v>Ангарская 8а</c:v>
                </c:pt>
                <c:pt idx="1">
                  <c:v>Ангарская 8б</c:v>
                </c:pt>
                <c:pt idx="2">
                  <c:v>Артюгинская</c:v>
                </c:pt>
                <c:pt idx="3">
                  <c:v>Богучанская № 1 8а</c:v>
                </c:pt>
                <c:pt idx="4">
                  <c:v>Богучанская № 1 8б</c:v>
                </c:pt>
                <c:pt idx="5">
                  <c:v>Богучанская № 2 8а</c:v>
                </c:pt>
                <c:pt idx="6">
                  <c:v>Богучанская № 2 8б</c:v>
                </c:pt>
                <c:pt idx="7">
                  <c:v>Богучанская № 2 8в</c:v>
                </c:pt>
                <c:pt idx="8">
                  <c:v>Богучанская № 3</c:v>
                </c:pt>
                <c:pt idx="9">
                  <c:v>Богучанская № 4 8а</c:v>
                </c:pt>
                <c:pt idx="10">
                  <c:v>Богучанская № 4 8б</c:v>
                </c:pt>
                <c:pt idx="11">
                  <c:v>Говорковская</c:v>
                </c:pt>
                <c:pt idx="12">
                  <c:v>Гремучинская</c:v>
                </c:pt>
                <c:pt idx="13">
                  <c:v>Красногорьевская</c:v>
                </c:pt>
                <c:pt idx="14">
                  <c:v>Манзенская</c:v>
                </c:pt>
                <c:pt idx="15">
                  <c:v>Невонская</c:v>
                </c:pt>
                <c:pt idx="16">
                  <c:v>Нижнетерянская</c:v>
                </c:pt>
                <c:pt idx="17">
                  <c:v>Новохайская</c:v>
                </c:pt>
                <c:pt idx="18">
                  <c:v>Октябрьская 8а</c:v>
                </c:pt>
                <c:pt idx="19">
                  <c:v>Октябрьская 8б</c:v>
                </c:pt>
                <c:pt idx="20">
                  <c:v>Осиновская</c:v>
                </c:pt>
                <c:pt idx="21">
                  <c:v>Пинчугская</c:v>
                </c:pt>
                <c:pt idx="22">
                  <c:v>Таежнинская № 7 8а</c:v>
                </c:pt>
                <c:pt idx="23">
                  <c:v>Таежнинская № 7 8б</c:v>
                </c:pt>
                <c:pt idx="24">
                  <c:v>Таежнинская № 7 8в</c:v>
                </c:pt>
                <c:pt idx="25">
                  <c:v>Таежнинская № 20 8 а</c:v>
                </c:pt>
                <c:pt idx="26">
                  <c:v>Таежнинская № 20 8б</c:v>
                </c:pt>
                <c:pt idx="27">
                  <c:v>Такучетская</c:v>
                </c:pt>
                <c:pt idx="28">
                  <c:v>Хребтовская</c:v>
                </c:pt>
                <c:pt idx="29">
                  <c:v>Чуноярская 8а</c:v>
                </c:pt>
                <c:pt idx="30">
                  <c:v>Чуноярская 8б</c:v>
                </c:pt>
                <c:pt idx="31">
                  <c:v>Шиверская</c:v>
                </c:pt>
              </c:strCache>
            </c:strRef>
          </c:cat>
          <c:val>
            <c:numRef>
              <c:f>Лист1!$B$80:$B$111</c:f>
              <c:numCache>
                <c:formatCode>0</c:formatCode>
                <c:ptCount val="32"/>
                <c:pt idx="0">
                  <c:v>33.33</c:v>
                </c:pt>
                <c:pt idx="1">
                  <c:v>33.33</c:v>
                </c:pt>
                <c:pt idx="2">
                  <c:v>43</c:v>
                </c:pt>
                <c:pt idx="3">
                  <c:v>27.779999999999987</c:v>
                </c:pt>
                <c:pt idx="4">
                  <c:v>30.77</c:v>
                </c:pt>
                <c:pt idx="5">
                  <c:v>5.88</c:v>
                </c:pt>
                <c:pt idx="6">
                  <c:v>16.670000000000005</c:v>
                </c:pt>
                <c:pt idx="7">
                  <c:v>6.67</c:v>
                </c:pt>
                <c:pt idx="8">
                  <c:v>41.18</c:v>
                </c:pt>
                <c:pt idx="9">
                  <c:v>28.57</c:v>
                </c:pt>
                <c:pt idx="10">
                  <c:v>0</c:v>
                </c:pt>
                <c:pt idx="11">
                  <c:v>50</c:v>
                </c:pt>
                <c:pt idx="12">
                  <c:v>42.86</c:v>
                </c:pt>
                <c:pt idx="13">
                  <c:v>0</c:v>
                </c:pt>
                <c:pt idx="14">
                  <c:v>57.14</c:v>
                </c:pt>
                <c:pt idx="15">
                  <c:v>5.88</c:v>
                </c:pt>
                <c:pt idx="16">
                  <c:v>0</c:v>
                </c:pt>
                <c:pt idx="17">
                  <c:v>14.29</c:v>
                </c:pt>
                <c:pt idx="18">
                  <c:v>11.76</c:v>
                </c:pt>
                <c:pt idx="19">
                  <c:v>57.14</c:v>
                </c:pt>
                <c:pt idx="20">
                  <c:v>10</c:v>
                </c:pt>
                <c:pt idx="21">
                  <c:v>20</c:v>
                </c:pt>
                <c:pt idx="22">
                  <c:v>31.25</c:v>
                </c:pt>
                <c:pt idx="23">
                  <c:v>44.44</c:v>
                </c:pt>
                <c:pt idx="24">
                  <c:v>23.08</c:v>
                </c:pt>
                <c:pt idx="25">
                  <c:v>50</c:v>
                </c:pt>
                <c:pt idx="26">
                  <c:v>30</c:v>
                </c:pt>
                <c:pt idx="27">
                  <c:v>16.670000000000005</c:v>
                </c:pt>
                <c:pt idx="28">
                  <c:v>60</c:v>
                </c:pt>
                <c:pt idx="29">
                  <c:v>71.430000000000007</c:v>
                </c:pt>
                <c:pt idx="30">
                  <c:v>28.57</c:v>
                </c:pt>
                <c:pt idx="31">
                  <c:v>0</c:v>
                </c:pt>
              </c:numCache>
            </c:numRef>
          </c:val>
        </c:ser>
        <c:shape val="box"/>
        <c:axId val="122480128"/>
        <c:axId val="122481664"/>
        <c:axId val="0"/>
      </c:bar3DChart>
      <c:catAx>
        <c:axId val="122480128"/>
        <c:scaling>
          <c:orientation val="minMax"/>
        </c:scaling>
        <c:axPos val="b"/>
        <c:tickLblPos val="nextTo"/>
        <c:crossAx val="122481664"/>
        <c:crosses val="autoZero"/>
        <c:auto val="1"/>
        <c:lblAlgn val="ctr"/>
        <c:lblOffset val="100"/>
      </c:catAx>
      <c:valAx>
        <c:axId val="122481664"/>
        <c:scaling>
          <c:orientation val="minMax"/>
        </c:scaling>
        <c:axPos val="l"/>
        <c:majorGridlines/>
        <c:numFmt formatCode="0" sourceLinked="1"/>
        <c:tickLblPos val="nextTo"/>
        <c:crossAx val="12248012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Лист1!$A$236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Лист1!$B$235:$D$235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Лист1!$B$236:$D$236</c:f>
              <c:numCache>
                <c:formatCode>0</c:formatCode>
                <c:ptCount val="3"/>
                <c:pt idx="0">
                  <c:v>46</c:v>
                </c:pt>
                <c:pt idx="1">
                  <c:v>39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Лист1!$A$237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Лист1!$B$235:$D$235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Лист1!$B$237:$D$237</c:f>
              <c:numCache>
                <c:formatCode>0</c:formatCode>
                <c:ptCount val="3"/>
                <c:pt idx="0">
                  <c:v>46.92</c:v>
                </c:pt>
                <c:pt idx="1">
                  <c:v>35.07</c:v>
                </c:pt>
                <c:pt idx="2">
                  <c:v>18.010000000000005</c:v>
                </c:pt>
              </c:numCache>
            </c:numRef>
          </c:val>
        </c:ser>
        <c:ser>
          <c:idx val="2"/>
          <c:order val="2"/>
          <c:tx>
            <c:strRef>
              <c:f>Лист1!$A$238</c:f>
              <c:strCache>
                <c:ptCount val="1"/>
                <c:pt idx="0">
                  <c:v>2023-24</c:v>
                </c:pt>
              </c:strCache>
            </c:strRef>
          </c:tx>
          <c:dLbls>
            <c:showVal val="1"/>
          </c:dLbls>
          <c:cat>
            <c:strRef>
              <c:f>Лист1!$B$235:$D$235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Лист1!$B$238:$D$238</c:f>
              <c:numCache>
                <c:formatCode>General</c:formatCode>
                <c:ptCount val="3"/>
                <c:pt idx="0" formatCode="0">
                  <c:v>27</c:v>
                </c:pt>
                <c:pt idx="1">
                  <c:v>66</c:v>
                </c:pt>
                <c:pt idx="2">
                  <c:v>7</c:v>
                </c:pt>
              </c:numCache>
            </c:numRef>
          </c:val>
        </c:ser>
        <c:axId val="122503936"/>
        <c:axId val="122505472"/>
      </c:barChart>
      <c:catAx>
        <c:axId val="122503936"/>
        <c:scaling>
          <c:orientation val="minMax"/>
        </c:scaling>
        <c:axPos val="b"/>
        <c:tickLblPos val="nextTo"/>
        <c:crossAx val="122505472"/>
        <c:crosses val="autoZero"/>
        <c:auto val="1"/>
        <c:lblAlgn val="ctr"/>
        <c:lblOffset val="100"/>
      </c:catAx>
      <c:valAx>
        <c:axId val="122505472"/>
        <c:scaling>
          <c:orientation val="minMax"/>
        </c:scaling>
        <c:axPos val="l"/>
        <c:majorGridlines/>
        <c:numFmt formatCode="0" sourceLinked="1"/>
        <c:tickLblPos val="nextTo"/>
        <c:crossAx val="122503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0.17307</cdr:y>
    </cdr:from>
    <cdr:to>
      <cdr:x>0.1194</cdr:x>
      <cdr:y>0.32088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0" y="338208"/>
          <a:ext cx="858018" cy="28885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>
              <a:solidFill>
                <a:schemeClr val="tx1"/>
              </a:solidFill>
              <a:latin typeface="Arial Narrow" pitchFamily="34" charset="0"/>
            </a:rPr>
            <a:t>МО</a:t>
          </a:r>
        </a:p>
      </cdr:txBody>
    </cdr:sp>
  </cdr:relSizeAnchor>
  <cdr:relSizeAnchor xmlns:cdr="http://schemas.openxmlformats.org/drawingml/2006/chartDrawing">
    <cdr:from>
      <cdr:x>0</cdr:x>
      <cdr:y>0.56398</cdr:y>
    </cdr:from>
    <cdr:to>
      <cdr:x>0.1384</cdr:x>
      <cdr:y>0.67711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0" y="1102138"/>
          <a:ext cx="994554" cy="22108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>
              <a:solidFill>
                <a:schemeClr val="tx1"/>
              </a:solidFill>
              <a:latin typeface="Arial Narrow" pitchFamily="34" charset="0"/>
            </a:rPr>
            <a:t>Край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2545</Words>
  <Characters>14507</Characters>
  <Application>Microsoft Office Word</Application>
  <DocSecurity>0</DocSecurity>
  <Lines>120</Lines>
  <Paragraphs>34</Paragraphs>
  <ScaleCrop>false</ScaleCrop>
  <Company>УО администрации Богучанского района</Company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1</cp:revision>
  <dcterms:created xsi:type="dcterms:W3CDTF">2024-06-25T02:29:00Z</dcterms:created>
  <dcterms:modified xsi:type="dcterms:W3CDTF">2024-06-25T02:30:00Z</dcterms:modified>
</cp:coreProperties>
</file>