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F" w:rsidRDefault="00C55C12" w:rsidP="0056683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</w:t>
      </w:r>
    </w:p>
    <w:p w:rsidR="00FD792F" w:rsidRDefault="00C55C12" w:rsidP="0056683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и</w:t>
      </w:r>
      <w:r w:rsidR="00566835" w:rsidRPr="0074620F">
        <w:rPr>
          <w:rFonts w:ascii="Times New Roman" w:eastAsia="Calibri" w:hAnsi="Times New Roman" w:cs="Times New Roman"/>
          <w:b/>
          <w:sz w:val="24"/>
          <w:szCs w:val="24"/>
        </w:rPr>
        <w:t>тог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566835" w:rsidRPr="0074620F">
        <w:rPr>
          <w:rFonts w:ascii="Times New Roman" w:eastAsia="Calibri" w:hAnsi="Times New Roman" w:cs="Times New Roman"/>
          <w:b/>
          <w:sz w:val="24"/>
          <w:szCs w:val="24"/>
        </w:rPr>
        <w:t xml:space="preserve"> краевых диагностических работ</w:t>
      </w:r>
    </w:p>
    <w:p w:rsidR="00566835" w:rsidRPr="0074620F" w:rsidRDefault="00566835" w:rsidP="0056683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5C12">
        <w:rPr>
          <w:rFonts w:ascii="Times New Roman" w:eastAsia="Calibri" w:hAnsi="Times New Roman" w:cs="Times New Roman"/>
          <w:b/>
          <w:sz w:val="24"/>
          <w:szCs w:val="24"/>
        </w:rPr>
        <w:t>в 2021-22 учебно</w:t>
      </w:r>
      <w:r w:rsidR="000B3B66">
        <w:rPr>
          <w:rFonts w:ascii="Times New Roman" w:eastAsia="Calibri" w:hAnsi="Times New Roman" w:cs="Times New Roman"/>
          <w:b/>
          <w:sz w:val="24"/>
          <w:szCs w:val="24"/>
        </w:rPr>
        <w:t xml:space="preserve">м </w:t>
      </w:r>
      <w:r w:rsidR="00C55C12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Краевые диагностические работы (далее КДР) проводились в сроки, установленные нормативными документами  министерства образования Красноярского края. 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С целью организованного проведения КДР в Богучанском районе 15.11.2021 г состоялось совещание с ответственными за проведение КДР</w:t>
      </w:r>
      <w:proofErr w:type="gramStart"/>
      <w:r w:rsidRPr="0074620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по ЧГ.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В этом году управлением образования было принято решение о перекрестной проверке КДР, поэтому  в каждой школе была создана комиссия для проверки работ учащихся других школ. КДР всех учащихся проверялись двумя комиссиями – комиссией своей школы и комиссией другой школы, в случае расхождения в  выставленных баллах,  вопросы проверялись третьим экспертом.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35" w:rsidRPr="0074620F" w:rsidRDefault="00566835" w:rsidP="0056683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0F">
        <w:rPr>
          <w:rFonts w:ascii="Times New Roman" w:eastAsia="Calibri" w:hAnsi="Times New Roman" w:cs="Times New Roman"/>
          <w:b/>
          <w:sz w:val="24"/>
          <w:szCs w:val="24"/>
        </w:rPr>
        <w:t>КДР 6 по читательской грамотности</w:t>
      </w:r>
    </w:p>
    <w:p w:rsidR="00566835" w:rsidRPr="0074620F" w:rsidRDefault="00566835" w:rsidP="00566835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74620F">
        <w:rPr>
          <w:rFonts w:ascii="Times New Roman" w:hAnsi="Times New Roman" w:cs="Times New Roman"/>
        </w:rPr>
        <w:t>В диагностической работе по читательской грамотности в Богучанском районе приняли участие 442 обучающихся из 23 школ района (</w:t>
      </w:r>
      <w:proofErr w:type="spellStart"/>
      <w:r w:rsidRPr="0074620F">
        <w:rPr>
          <w:rFonts w:ascii="Times New Roman" w:hAnsi="Times New Roman" w:cs="Times New Roman"/>
        </w:rPr>
        <w:t>искл</w:t>
      </w:r>
      <w:proofErr w:type="spellEnd"/>
      <w:r w:rsidRPr="0074620F">
        <w:rPr>
          <w:rFonts w:ascii="Times New Roman" w:hAnsi="Times New Roman" w:cs="Times New Roman"/>
        </w:rPr>
        <w:t>.</w:t>
      </w:r>
      <w:proofErr w:type="gramEnd"/>
      <w:r w:rsidRPr="0074620F">
        <w:rPr>
          <w:rFonts w:ascii="Times New Roman" w:hAnsi="Times New Roman" w:cs="Times New Roman"/>
        </w:rPr>
        <w:t xml:space="preserve"> МКОУ Красногорьевская школа – дистанционное обучение).</w:t>
      </w:r>
    </w:p>
    <w:p w:rsidR="00566835" w:rsidRPr="0074620F" w:rsidRDefault="00566835" w:rsidP="0056683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4620F">
        <w:rPr>
          <w:rFonts w:ascii="Times New Roman" w:hAnsi="Times New Roman" w:cs="Times New Roman"/>
        </w:rPr>
        <w:t>Основные результаты выполнения диагностической работы по читательской грамотности представлены в диаграмме № 1</w:t>
      </w:r>
    </w:p>
    <w:p w:rsidR="00566835" w:rsidRPr="0074620F" w:rsidRDefault="00566835" w:rsidP="00566835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566835" w:rsidRPr="00F04A9C" w:rsidRDefault="00566835" w:rsidP="00566835">
      <w:pPr>
        <w:pStyle w:val="Default"/>
        <w:ind w:firstLine="709"/>
        <w:jc w:val="right"/>
        <w:rPr>
          <w:rFonts w:ascii="Times New Roman" w:hAnsi="Times New Roman" w:cs="Times New Roman"/>
          <w:u w:val="single"/>
        </w:rPr>
      </w:pPr>
      <w:r w:rsidRPr="00F04A9C">
        <w:rPr>
          <w:rFonts w:ascii="Times New Roman" w:hAnsi="Times New Roman" w:cs="Times New Roman"/>
          <w:u w:val="single"/>
        </w:rPr>
        <w:t>Диаграмма № 1</w:t>
      </w:r>
    </w:p>
    <w:p w:rsidR="00566835" w:rsidRPr="00F04A9C" w:rsidRDefault="00566835" w:rsidP="00566835">
      <w:pPr>
        <w:pStyle w:val="Default"/>
        <w:ind w:firstLine="709"/>
        <w:jc w:val="right"/>
        <w:rPr>
          <w:rFonts w:ascii="Times New Roman" w:hAnsi="Times New Roman" w:cs="Times New Roman"/>
          <w:u w:val="single"/>
        </w:rPr>
      </w:pPr>
      <w:r w:rsidRPr="00F04A9C">
        <w:rPr>
          <w:rFonts w:ascii="Times New Roman" w:hAnsi="Times New Roman" w:cs="Times New Roman"/>
          <w:u w:val="single"/>
        </w:rPr>
        <w:t xml:space="preserve">  «Успешность выполнения диагностической работы по КДР 6»  (</w:t>
      </w:r>
      <w:proofErr w:type="gramStart"/>
      <w:r w:rsidRPr="00F04A9C">
        <w:rPr>
          <w:rFonts w:ascii="Times New Roman" w:hAnsi="Times New Roman" w:cs="Times New Roman"/>
          <w:u w:val="single"/>
        </w:rPr>
        <w:t>в</w:t>
      </w:r>
      <w:proofErr w:type="gramEnd"/>
      <w:r w:rsidRPr="00F04A9C">
        <w:rPr>
          <w:rFonts w:ascii="Times New Roman" w:hAnsi="Times New Roman" w:cs="Times New Roman"/>
          <w:u w:val="single"/>
        </w:rPr>
        <w:t xml:space="preserve"> %)</w:t>
      </w:r>
    </w:p>
    <w:p w:rsidR="00566835" w:rsidRPr="0074620F" w:rsidRDefault="00566835" w:rsidP="00566835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566835" w:rsidRPr="0074620F" w:rsidRDefault="00566835" w:rsidP="005668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0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9797" cy="3271234"/>
            <wp:effectExtent l="19050" t="0" r="27153" b="5366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Из данной диаграммы видно, что  общие результаты района выше на 2%, чем краевые. Самый высокий процент выполнения в  МКОУ Нижнетерянской школе, самый низкий – в МКОУ Хребтовской школе.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Результаты КДР 6 с учетом индекса образовательных условий (далее – ИОУ) представлены в диаграмме № 2.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35" w:rsidRDefault="00566835" w:rsidP="005668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835" w:rsidRDefault="00566835" w:rsidP="005668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835" w:rsidRPr="00F04A9C" w:rsidRDefault="00566835" w:rsidP="005668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4A9C">
        <w:rPr>
          <w:rFonts w:ascii="Times New Roman" w:eastAsia="Calibri" w:hAnsi="Times New Roman" w:cs="Times New Roman"/>
          <w:sz w:val="24"/>
          <w:szCs w:val="24"/>
          <w:u w:val="single"/>
        </w:rPr>
        <w:t>Диаграмма № 2</w:t>
      </w:r>
    </w:p>
    <w:p w:rsidR="00566835" w:rsidRPr="00F04A9C" w:rsidRDefault="00566835" w:rsidP="005668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4A9C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КДР 6 с учетом ИОУ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8635" cy="3488635"/>
            <wp:effectExtent l="19050" t="0" r="0" b="0"/>
            <wp:docPr id="14" name="Рисунок 1" descr="D:\Users\Userruo\Desktop\КДР 2021-22\КДР 6 ЧГ\Результаты краевые точечки\57_Богучанский район\57_Богучанский район_КДР6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КДР 2021-22\КДР 6 ЧГ\Результаты краевые точечки\57_Богучанский район\57_Богучанский район_КДР6_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35" cy="348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>Из данной диаграммы видно, что только одна школа (МКОУ Богучанская школа № 2) попала на линию ожидаемых результатов, результаты МКОУ Невонской школы расположены чуть выше этой линии, результаты  4 школ оказались выше линии ожидаемых результатов (МКОУ Говорковская, МКОУ Шиверская, МКОУ Белякинская, МКОУ Нижнетерянская школы – по возрастанию), результаты  остальных ОУ – ниже линии.  С самым низким процентом выполнения КДР 6 оказалась МКОУ Хребтовская школа.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Если сравнить результаты двух диаграмм, можно увидеть, что самые высокие результаты МКОУ Нижнетерянской школы (диаграмма № 1) являются выше ожидаемых (диаграмма № 2). 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74620F">
        <w:rPr>
          <w:rFonts w:ascii="Times New Roman" w:eastAsia="Calibri" w:hAnsi="Times New Roman" w:cs="Times New Roman"/>
          <w:bCs/>
          <w:sz w:val="24"/>
          <w:szCs w:val="24"/>
        </w:rPr>
        <w:t>повышения объективности получения результатов независимых процедур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, а также для  исправления ситуации с некачественной проверкой,  </w:t>
      </w:r>
      <w:r w:rsidRPr="0074620F">
        <w:rPr>
          <w:rFonts w:ascii="Times New Roman" w:eastAsia="Calibri" w:hAnsi="Times New Roman" w:cs="Times New Roman"/>
          <w:bCs/>
          <w:sz w:val="24"/>
          <w:szCs w:val="24"/>
        </w:rPr>
        <w:t xml:space="preserve">02.12.2021 года </w:t>
      </w:r>
      <w:r w:rsidRPr="00746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провело совещание с </w:t>
      </w:r>
      <w:proofErr w:type="gramStart"/>
      <w:r w:rsidRPr="0074620F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74620F">
        <w:rPr>
          <w:rFonts w:ascii="Times New Roman" w:eastAsia="Calibri" w:hAnsi="Times New Roman" w:cs="Times New Roman"/>
          <w:sz w:val="24"/>
          <w:szCs w:val="24"/>
        </w:rPr>
        <w:t xml:space="preserve"> за проведение КДР в школах (протокол № 3 от 02.12.2021г). 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B6" w:rsidRDefault="008F16B6" w:rsidP="0056683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835" w:rsidRPr="0074620F" w:rsidRDefault="00566835" w:rsidP="0056683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0F">
        <w:rPr>
          <w:rFonts w:ascii="Times New Roman" w:eastAsia="Calibri" w:hAnsi="Times New Roman" w:cs="Times New Roman"/>
          <w:b/>
          <w:sz w:val="24"/>
          <w:szCs w:val="24"/>
        </w:rPr>
        <w:t>КДР 8 по естественнонаучной  грамотности</w:t>
      </w:r>
    </w:p>
    <w:p w:rsidR="00566835" w:rsidRPr="0074620F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диагностической работе по естественнонаучной грамотности для 8-х классов приняли участие 405 обучающихся из 23 школ  Богучанского района. Не принимали участие в данной  процедуре  МКОУ Кежекская школа в связи с отсутствием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класса. Работа проводилась в феврале 2022 года.</w:t>
      </w:r>
    </w:p>
    <w:p w:rsidR="00566835" w:rsidRPr="0074620F" w:rsidRDefault="00566835" w:rsidP="0056683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4620F">
        <w:rPr>
          <w:rFonts w:ascii="Times New Roman" w:hAnsi="Times New Roman" w:cs="Times New Roman"/>
          <w:sz w:val="24"/>
          <w:szCs w:val="24"/>
        </w:rPr>
        <w:t>По результатам выполнения КДР8 выделено три уровня достижений: повышенный, базовый и ниже базового.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результаты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муниципальному образованию приведены в сопоставлении со средними данными по региону в диаграмме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3. </w:t>
      </w:r>
    </w:p>
    <w:p w:rsidR="00566835" w:rsidRPr="0074620F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35" w:rsidRPr="00F04A9C" w:rsidRDefault="00566835" w:rsidP="0056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4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Диаграмма № 3</w:t>
      </w:r>
    </w:p>
    <w:p w:rsidR="00566835" w:rsidRPr="00F04A9C" w:rsidRDefault="00566835" w:rsidP="0056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4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Результаты ОУ ниже базового уровня</w:t>
      </w:r>
    </w:p>
    <w:p w:rsidR="00566835" w:rsidRPr="0074620F" w:rsidRDefault="00566835" w:rsidP="0056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35" w:rsidRPr="0074620F" w:rsidRDefault="00566835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185" cy="2846231"/>
            <wp:effectExtent l="19050" t="0" r="1951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835" w:rsidRPr="0074620F" w:rsidRDefault="00566835" w:rsidP="00566835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данной диаграммы видно, что общие  результаты школ  района ниже результатов края на 3 %. Самое большое количество учащихся у которых результаты работы ниже базового уровня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ОУ: МКОУ Хребтовская, МКОУ Невонская, МКОУ Богучанская № 3, МКОУ Таежнинская школа № 20и МКОУ Чуноярская школы. </w:t>
      </w:r>
    </w:p>
    <w:p w:rsidR="00566835" w:rsidRPr="008F16B6" w:rsidRDefault="00566835" w:rsidP="005668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Диаграмма № 4</w:t>
      </w:r>
    </w:p>
    <w:p w:rsidR="00566835" w:rsidRPr="008F16B6" w:rsidRDefault="00566835" w:rsidP="005668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ОУ базового уровня</w:t>
      </w:r>
    </w:p>
    <w:p w:rsidR="00566835" w:rsidRPr="0074620F" w:rsidRDefault="00566835" w:rsidP="00566835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5987" cy="3567448"/>
            <wp:effectExtent l="19050" t="0" r="11913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6835" w:rsidRPr="0074620F" w:rsidRDefault="00566835" w:rsidP="00566835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представленной выше диаграммы № 4 видим, что результаты района ниже краевого на 2 %. Также из данной диаграммы можно сделать вывод, что базовым уровнем ЕНГ владеют 100%  учащиеся 8 классов двух школ: Белякинской и Нижнетерянской. </w:t>
      </w:r>
    </w:p>
    <w:p w:rsidR="00566835" w:rsidRPr="008F16B6" w:rsidRDefault="00566835" w:rsidP="0056683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Диаграмма № 5</w:t>
      </w:r>
    </w:p>
    <w:p w:rsidR="00566835" w:rsidRPr="0074620F" w:rsidRDefault="00566835" w:rsidP="0056683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 КДР 8 с учетом ИОУ</w:t>
      </w:r>
    </w:p>
    <w:p w:rsidR="00566835" w:rsidRPr="0074620F" w:rsidRDefault="00566835" w:rsidP="00566835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0742" cy="3280742"/>
            <wp:effectExtent l="19050" t="0" r="0" b="0"/>
            <wp:docPr id="17" name="Рисунок 2" descr="C:\Users\Userruo\AppData\Local\Temp\7zO0B939C10\57_Богучанский район_КДР8_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ruo\AppData\Local\Temp\7zO0B939C10\57_Богучанский район_КДР8_2021-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09" cy="328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35" w:rsidRPr="0074620F" w:rsidRDefault="00566835" w:rsidP="00566835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диаграмме № 5 видно, что результаты пяти  школ находятся выше ожидаемых результатов: МКОУ Таежнинской № 7, МКОУ Манзенской, МКОУ Говорковской, МКОУ Такучетской и МКОУ Артюгинской школ (по возрастанию).</w:t>
      </w:r>
    </w:p>
    <w:p w:rsidR="00566835" w:rsidRPr="0074620F" w:rsidRDefault="00566835" w:rsidP="00566835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ожидаемых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продемонстрировали все остальные школы.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 всех отклонились от линии ожидаемых результатов следующие МКОУ: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Богучанская № 4, Гремучинская, Невонская, Таежнинская № 20, Хребтовская, Нижнетерянская (по возрастанию). </w:t>
      </w:r>
    </w:p>
    <w:p w:rsidR="008F16B6" w:rsidRDefault="008F16B6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6B6" w:rsidRDefault="008F16B6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835" w:rsidRPr="0074620F" w:rsidRDefault="00566835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КДР 7 по математической грамотности</w:t>
      </w:r>
    </w:p>
    <w:p w:rsidR="00566835" w:rsidRPr="0074620F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краевой диагностической работе по математической грамотности для 7-го класса приняли участие 387 обучающихся  7-х классов  Богучанского района из </w:t>
      </w:r>
      <w:r w:rsidRPr="0074620F">
        <w:rPr>
          <w:rFonts w:ascii="Times New Roman" w:hAnsi="Times New Roman" w:cs="Times New Roman"/>
          <w:sz w:val="24"/>
          <w:szCs w:val="24"/>
        </w:rPr>
        <w:t xml:space="preserve"> 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школ (учащиеся МКОУ Белякинской и МКОУ Хребтовской  школ были  переведены на </w:t>
      </w:r>
      <w:proofErr w:type="spell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</w:t>
      </w:r>
      <w:proofErr w:type="spell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Дата выполнения работы -  декабрь 2021 года.</w:t>
      </w:r>
    </w:p>
    <w:p w:rsidR="00566835" w:rsidRPr="0074620F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Основные результаты по муниципальному образованию приведены в сопоставлении со средними данными по всей параллели 7-х классов Красноярского края в диаграмме № 6.</w:t>
      </w:r>
    </w:p>
    <w:p w:rsidR="00566835" w:rsidRPr="0074620F" w:rsidRDefault="00566835" w:rsidP="00566835">
      <w:pPr>
        <w:tabs>
          <w:tab w:val="left" w:pos="538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6B6" w:rsidRDefault="008F16B6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66835" w:rsidRPr="008F16B6" w:rsidRDefault="00566835" w:rsidP="00566835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Диаграмма № 6</w:t>
      </w:r>
    </w:p>
    <w:p w:rsidR="00566835" w:rsidRPr="008F16B6" w:rsidRDefault="00566835" w:rsidP="00566835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F16B6">
        <w:rPr>
          <w:rFonts w:ascii="Times New Roman" w:hAnsi="Times New Roman" w:cs="Times New Roman"/>
          <w:sz w:val="24"/>
          <w:szCs w:val="24"/>
          <w:u w:val="single"/>
        </w:rPr>
        <w:t>Распределение участников КДР</w:t>
      </w:r>
      <w:proofErr w:type="gramStart"/>
      <w:r w:rsidRPr="008F16B6"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End"/>
      <w:r w:rsidRPr="008F16B6">
        <w:rPr>
          <w:rFonts w:ascii="Times New Roman" w:hAnsi="Times New Roman" w:cs="Times New Roman"/>
          <w:sz w:val="24"/>
          <w:szCs w:val="24"/>
          <w:u w:val="single"/>
        </w:rPr>
        <w:t xml:space="preserve"> по уровням математической грамотности</w:t>
      </w:r>
    </w:p>
    <w:p w:rsidR="00566835" w:rsidRPr="0074620F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35" w:rsidRPr="0074620F" w:rsidRDefault="00566835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4855" cy="3448879"/>
            <wp:effectExtent l="19050" t="0" r="1159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математической грамотности, продемонстрированные при выполнении КДР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характеризуют способность ученика использовать математические понятия, процедуры, факты и инструменты, чтобы описывать, объяснять и предсказывать явления, высказывать хорошо обоснованные суждения и принимать решения в </w:t>
      </w:r>
      <w:proofErr w:type="spell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разноообразных</w:t>
      </w:r>
      <w:proofErr w:type="spell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 ситуациях.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уровень (пороговый) означает, что ученик начинает демонстрировать математическую грамотность – применять математические знания и умения в простейших </w:t>
      </w:r>
      <w:proofErr w:type="spell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неучебных</w:t>
      </w:r>
      <w:proofErr w:type="spell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ситуациях. Таких обучающихся в нашем районе – 39 %, что на 12%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крае.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Повышенный уровень означает, что ученик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математической грамотностью проявляет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использовать имеющиеся математические знания и умения для получения новой информации и принятия решений.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повышенным уровнем в нашем районе – 15%, что на 5% ниже краевого.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ниже базового означает, что ученик не продемонстрировал математическую грамотность. В школах района таких детей – 46% .</w:t>
      </w:r>
    </w:p>
    <w:p w:rsidR="00566835" w:rsidRPr="0074620F" w:rsidRDefault="00566835" w:rsidP="00566835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35" w:rsidRPr="0074620F" w:rsidRDefault="00566835" w:rsidP="00566835">
      <w:pPr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Как показывают статистические данные, предоставленные Красноярским ЦОКО,  труднее всего семиклассникам Богучанского района рассуждать. Разброс индивидуальных результатов в этой области также минимальный, что говорит о том, что эта трудность - общая практически для всех групп учеников и школ. По трем </w:t>
      </w:r>
      <w:proofErr w:type="spell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компетентностным</w:t>
      </w:r>
      <w:proofErr w:type="spell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областям средние значения сопоставимы, по первой и второй группе (формулировать ситуацию математически, применять математические понятия, факты, процедуры) разброс результатов больше. Чуть лучше ученикам удается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 оценивать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результаты.</w:t>
      </w:r>
    </w:p>
    <w:p w:rsidR="00566835" w:rsidRPr="0074620F" w:rsidRDefault="00566835" w:rsidP="00566835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 учитывающих ИОУ ОУ  по КДР 7 ЦОКО представлено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было.</w:t>
      </w:r>
    </w:p>
    <w:p w:rsidR="008F16B6" w:rsidRDefault="008F16B6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835" w:rsidRPr="0074620F" w:rsidRDefault="00566835" w:rsidP="00566835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КДР 4 по читательской грамотности</w:t>
      </w:r>
    </w:p>
    <w:p w:rsidR="00566835" w:rsidRPr="0074620F" w:rsidRDefault="00566835" w:rsidP="00566835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диагностической работе по читательской грамотности для 4-х классов приняли участие 498 выпускников из всех школ Богучанского района. Дата проведения работы - март 2022 года.</w:t>
      </w:r>
    </w:p>
    <w:p w:rsidR="00566835" w:rsidRPr="0074620F" w:rsidRDefault="00566835" w:rsidP="00566835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Основные результаты по муниципальному образованию приведены в сопоставлении с данными, полученными на региональной репрезентативной выборке, где процедура проходила под наблюдением представителей ЦОКО (таблица № 1)</w:t>
      </w:r>
    </w:p>
    <w:p w:rsidR="00566835" w:rsidRPr="008F16B6" w:rsidRDefault="00566835" w:rsidP="00566835">
      <w:pPr>
        <w:tabs>
          <w:tab w:val="left" w:pos="18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Таблица № 1</w:t>
      </w:r>
    </w:p>
    <w:p w:rsidR="00566835" w:rsidRPr="008F16B6" w:rsidRDefault="00566835" w:rsidP="00566835">
      <w:pPr>
        <w:tabs>
          <w:tab w:val="left" w:pos="18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Основные результаты выполнения КДР 4 по ЧГ</w:t>
      </w:r>
    </w:p>
    <w:p w:rsidR="00566835" w:rsidRPr="0074620F" w:rsidRDefault="00566835" w:rsidP="0056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3044"/>
        <w:gridCol w:w="1841"/>
        <w:gridCol w:w="1368"/>
      </w:tblGrid>
      <w:tr w:rsidR="00566835" w:rsidRPr="0074620F" w:rsidTr="00B538B9">
        <w:trPr>
          <w:trHeight w:val="1020"/>
        </w:trPr>
        <w:tc>
          <w:tcPr>
            <w:tcW w:w="5722" w:type="dxa"/>
            <w:gridSpan w:val="2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Основные результаты выполнения диагностической работы</w:t>
            </w: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br/>
              <w:t xml:space="preserve">по читательской грамотности </w:t>
            </w:r>
          </w:p>
        </w:tc>
        <w:tc>
          <w:tcPr>
            <w:tcW w:w="1841" w:type="dxa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Среднее значение по муниципальному образованию</w:t>
            </w:r>
            <w:proofErr w:type="gramStart"/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68" w:type="dxa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Среднее значение по краю</w:t>
            </w:r>
            <w:proofErr w:type="gramStart"/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66835" w:rsidRPr="0074620F" w:rsidTr="00B538B9">
        <w:trPr>
          <w:trHeight w:val="430"/>
        </w:trPr>
        <w:tc>
          <w:tcPr>
            <w:tcW w:w="8931" w:type="dxa"/>
            <w:gridSpan w:val="4"/>
            <w:shd w:val="clear" w:color="000000" w:fill="DEF5FA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Успешность выполнения</w:t>
            </w:r>
          </w:p>
        </w:tc>
      </w:tr>
      <w:tr w:rsidR="00566835" w:rsidRPr="0074620F" w:rsidTr="00B538B9">
        <w:trPr>
          <w:trHeight w:val="383"/>
        </w:trPr>
        <w:tc>
          <w:tcPr>
            <w:tcW w:w="5722" w:type="dxa"/>
            <w:gridSpan w:val="2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Вся работа (балл по 100-балльной шкале)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11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56</w:t>
            </w:r>
            <w:bookmarkEnd w:id="0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66835" w:rsidRPr="0074620F" w:rsidTr="00B538B9">
        <w:trPr>
          <w:trHeight w:val="366"/>
        </w:trPr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Успешность выполнения заданий по группам умений</w:t>
            </w: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3044" w:type="dxa"/>
            <w:shd w:val="clear" w:color="auto" w:fill="auto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E12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71,97%</w:t>
            </w:r>
            <w:bookmarkEnd w:id="1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69,63%</w:t>
            </w:r>
          </w:p>
        </w:tc>
      </w:tr>
      <w:tr w:rsidR="00566835" w:rsidRPr="0074620F" w:rsidTr="00B538B9">
        <w:trPr>
          <w:trHeight w:val="366"/>
        </w:trPr>
        <w:tc>
          <w:tcPr>
            <w:tcW w:w="2678" w:type="dxa"/>
            <w:vMerge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shd w:val="clear" w:color="auto" w:fill="auto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E13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44,42%</w:t>
            </w:r>
            <w:bookmarkEnd w:id="2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44,94%</w:t>
            </w:r>
          </w:p>
        </w:tc>
      </w:tr>
      <w:tr w:rsidR="00566835" w:rsidRPr="0074620F" w:rsidTr="00B538B9">
        <w:trPr>
          <w:trHeight w:val="350"/>
        </w:trPr>
        <w:tc>
          <w:tcPr>
            <w:tcW w:w="2678" w:type="dxa"/>
            <w:vMerge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shd w:val="clear" w:color="auto" w:fill="auto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E14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41,57%</w:t>
            </w:r>
            <w:bookmarkEnd w:id="3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37,31%</w:t>
            </w:r>
          </w:p>
        </w:tc>
      </w:tr>
      <w:tr w:rsidR="00566835" w:rsidRPr="0074620F" w:rsidTr="00B538B9">
        <w:trPr>
          <w:trHeight w:val="414"/>
        </w:trPr>
        <w:tc>
          <w:tcPr>
            <w:tcW w:w="8931" w:type="dxa"/>
            <w:gridSpan w:val="4"/>
            <w:shd w:val="clear" w:color="000000" w:fill="DEF5FA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</w:tr>
      <w:tr w:rsidR="00566835" w:rsidRPr="0074620F" w:rsidTr="00B538B9">
        <w:trPr>
          <w:trHeight w:val="414"/>
        </w:trPr>
        <w:tc>
          <w:tcPr>
            <w:tcW w:w="5722" w:type="dxa"/>
            <w:gridSpan w:val="2"/>
            <w:shd w:val="clear" w:color="auto" w:fill="auto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Достигли базового уровня (включая </w:t>
            </w:r>
            <w:proofErr w:type="gramStart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E16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72,29%</w:t>
            </w:r>
            <w:bookmarkEnd w:id="4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73,27%</w:t>
            </w:r>
          </w:p>
        </w:tc>
      </w:tr>
      <w:tr w:rsidR="00566835" w:rsidRPr="0074620F" w:rsidTr="00B538B9">
        <w:trPr>
          <w:trHeight w:val="430"/>
        </w:trPr>
        <w:tc>
          <w:tcPr>
            <w:tcW w:w="5722" w:type="dxa"/>
            <w:gridSpan w:val="2"/>
            <w:shd w:val="clear" w:color="auto" w:fill="auto"/>
            <w:noWrap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184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E17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20,88%</w:t>
            </w:r>
            <w:bookmarkEnd w:id="5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17,29%</w:t>
            </w:r>
          </w:p>
        </w:tc>
      </w:tr>
    </w:tbl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представленной таблицы можно сделать вывод, что результаты обучающихся 4 классов школ Богучанского района </w:t>
      </w:r>
      <w:proofErr w:type="spell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коррелируются</w:t>
      </w:r>
      <w:proofErr w:type="spell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результатами, полученными на региональной выборке.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таблицы № 2 видно, что результатов повышенного уровня в районе несколько больше, чем в представленной выборке.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35" w:rsidRPr="008F16B6" w:rsidRDefault="00566835" w:rsidP="0056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№ 2</w:t>
      </w:r>
    </w:p>
    <w:p w:rsidR="00566835" w:rsidRPr="008F16B6" w:rsidRDefault="00566835" w:rsidP="005668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1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Уровни достижения  </w:t>
      </w:r>
    </w:p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560"/>
        <w:gridCol w:w="2520"/>
        <w:gridCol w:w="2380"/>
        <w:gridCol w:w="1053"/>
      </w:tblGrid>
      <w:tr w:rsidR="00566835" w:rsidRPr="0074620F" w:rsidTr="00B538B9">
        <w:trPr>
          <w:trHeight w:val="510"/>
        </w:trPr>
        <w:tc>
          <w:tcPr>
            <w:tcW w:w="1711" w:type="dxa"/>
            <w:vMerge w:val="restart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gridSpan w:val="4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566835" w:rsidRPr="0074620F" w:rsidTr="00B538B9">
        <w:trPr>
          <w:trHeight w:val="300"/>
        </w:trPr>
        <w:tc>
          <w:tcPr>
            <w:tcW w:w="1711" w:type="dxa"/>
            <w:vMerge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2520" w:type="dxa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2380" w:type="dxa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53" w:type="dxa"/>
            <w:shd w:val="clear" w:color="000000" w:fill="39639D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ru-RU"/>
              </w:rPr>
              <w:t>Повышенный</w:t>
            </w:r>
          </w:p>
        </w:tc>
      </w:tr>
      <w:tr w:rsidR="00566835" w:rsidRPr="0074620F" w:rsidTr="00B538B9">
        <w:trPr>
          <w:trHeight w:val="645"/>
        </w:trPr>
        <w:tc>
          <w:tcPr>
            <w:tcW w:w="1711" w:type="dxa"/>
            <w:shd w:val="clear" w:color="000000" w:fill="FFFFFF"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  <w:proofErr w:type="gramStart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C39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7,83%</w:t>
            </w:r>
            <w:bookmarkEnd w:id="6"/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39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19,88%</w:t>
            </w:r>
            <w:bookmarkEnd w:id="7"/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E39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51,41%</w:t>
            </w:r>
            <w:bookmarkEnd w:id="8"/>
          </w:p>
        </w:tc>
        <w:tc>
          <w:tcPr>
            <w:tcW w:w="1053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F39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20,88%</w:t>
            </w:r>
            <w:bookmarkEnd w:id="9"/>
          </w:p>
        </w:tc>
      </w:tr>
      <w:tr w:rsidR="00566835" w:rsidRPr="0074620F" w:rsidTr="00B538B9">
        <w:trPr>
          <w:trHeight w:val="405"/>
        </w:trPr>
        <w:tc>
          <w:tcPr>
            <w:tcW w:w="1711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proofErr w:type="gramStart"/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7,44%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19,30%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55,98%</w:t>
            </w:r>
          </w:p>
        </w:tc>
        <w:tc>
          <w:tcPr>
            <w:tcW w:w="1053" w:type="dxa"/>
            <w:shd w:val="clear" w:color="000000" w:fill="FFFFFF"/>
            <w:noWrap/>
            <w:vAlign w:val="center"/>
            <w:hideMark/>
          </w:tcPr>
          <w:p w:rsidR="00566835" w:rsidRPr="0074620F" w:rsidRDefault="00566835" w:rsidP="00B53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7462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17,29%</w:t>
            </w:r>
          </w:p>
        </w:tc>
      </w:tr>
    </w:tbl>
    <w:p w:rsidR="00566835" w:rsidRPr="0074620F" w:rsidRDefault="00566835" w:rsidP="0056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35" w:rsidRPr="0074620F" w:rsidRDefault="00566835" w:rsidP="00566835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КДР  были проанализированы всеми школами, а также проведено обсуждение и  анализ районными МО учителей. </w:t>
      </w:r>
    </w:p>
    <w:p w:rsidR="00566835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причинами низких результатов можно назвать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66835" w:rsidRPr="0074620F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Работа по формированию читательской грамотности носит фрагментарный характер, отсутствует системность.</w:t>
      </w:r>
    </w:p>
    <w:p w:rsidR="00566835" w:rsidRPr="0074620F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 Задания по формированию читательской грамотности используются недостаточно, они не встраиваются в различные этапы урока, недостаточно присутствуют в домашних заданиях по учебным предметам в начальной школе.</w:t>
      </w:r>
    </w:p>
    <w:p w:rsidR="00566835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 Учителями недостаточно эффективно проводится индивидуальная работа по коррекции пробелов у обучающихся в плане формирования разных грамотностей.</w:t>
      </w:r>
    </w:p>
    <w:p w:rsidR="00566835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835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Рекомендовано:</w:t>
      </w:r>
    </w:p>
    <w:p w:rsidR="00566835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школах, где наблюдается значительное отклонение от линии ожидаемых результатов – выше ожидаемых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следующих ОУ: Нижнетерянская (КДР 6), Такучетская, Артюгинская (КДР 8), Говорковская, Манзенская. Ниже ожидаемых: Хребтовская, Богучанская № 3, Манзенская, Артюгинская (КДР 6, КДР 4), Богучанская № 4, Невонская, Кежекская, Чуноярская, Гремучинская, Новохайская, Нижнетерянская (КДР 8), Таежнинская № 20, Осиновская. Этим школам и другим, у которых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имеют не столь значительные отклонения от линии ожидаемых результатов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рекомендовано проанализировать объективность проведения и оценки КДР.</w:t>
      </w:r>
    </w:p>
    <w:p w:rsidR="00566835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школ, которые находятся на линии или рядом с линией ожидаемых результатов: Богучанская школа № 2, Шиверская, Красногорьевская, Пинчугская, Октябрьская продолжить работу по соблюдению объективности проведения и проверки диагностических работ.</w:t>
      </w:r>
    </w:p>
    <w:p w:rsidR="00566835" w:rsidRDefault="00566835" w:rsidP="0056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всех школах провести сопоставление четвертных отметок и оценок, полученных на КДР.</w:t>
      </w:r>
    </w:p>
    <w:p w:rsidR="00566835" w:rsidRDefault="00566835" w:rsidP="0056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7F2" w:rsidRDefault="00566835" w:rsidP="00C20FBC">
      <w:pPr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задачи, которые были поставлены школами для повышения качества результатов КДР в последующих годах:</w:t>
      </w:r>
    </w:p>
    <w:p w:rsidR="00566835" w:rsidRPr="00FD47F2" w:rsidRDefault="00566835" w:rsidP="00FD47F2">
      <w:pPr>
        <w:pStyle w:val="a3"/>
        <w:numPr>
          <w:ilvl w:val="0"/>
          <w:numId w:val="1"/>
        </w:numPr>
        <w:spacing w:after="26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разбор ошибок с детьми, допущенных ими на КДР.</w:t>
      </w:r>
    </w:p>
    <w:p w:rsidR="00566835" w:rsidRPr="0074620F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банки тренировочных заданий на уроках и во внеурочных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835" w:rsidRPr="0074620F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входную диагностику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835" w:rsidRPr="0074620F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школьные семинары/педсоветы/совещания по вопросам формирования грамотностей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835" w:rsidRPr="0074620F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включать в урочные занятия работу с различными текстами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835" w:rsidRPr="0074620F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на уроках методы и приемы, формирующие  функциональную грамотность (далее – ФГ)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835" w:rsidRPr="0074620F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мониторинги профессиональных дефицитов педагогов по вопросам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835" w:rsidRDefault="00566835" w:rsidP="00566835">
      <w:pPr>
        <w:pStyle w:val="a3"/>
        <w:numPr>
          <w:ilvl w:val="0"/>
          <w:numId w:val="1"/>
        </w:numPr>
        <w:spacing w:after="26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школ усилить </w:t>
      </w:r>
      <w:proofErr w:type="gramStart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ФГ на уроках и внеурочных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835" w:rsidRPr="00816F0F" w:rsidRDefault="00566835" w:rsidP="005668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КДР объективно подходить к оцениванию результатов, а также повысить </w:t>
      </w:r>
      <w:proofErr w:type="gramStart"/>
      <w:r w:rsidRPr="0081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1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 проведением диагностических процедур.      </w:t>
      </w:r>
    </w:p>
    <w:p w:rsidR="00566835" w:rsidRDefault="00566835" w:rsidP="0056683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FBC" w:rsidRPr="00C20FBC" w:rsidRDefault="00E85B84" w:rsidP="00DD637C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проведен </w:t>
      </w:r>
      <w:r w:rsidR="00C20FBC" w:rsidRPr="00C20FBC">
        <w:rPr>
          <w:rFonts w:ascii="Times New Roman" w:hAnsi="Times New Roman" w:cs="Times New Roman"/>
          <w:sz w:val="24"/>
          <w:szCs w:val="24"/>
        </w:rPr>
        <w:t xml:space="preserve"> </w:t>
      </w:r>
      <w:r w:rsidR="00B579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544" cy="4049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9" cy="40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FBC" w:rsidRPr="00C20FBC">
        <w:rPr>
          <w:rFonts w:ascii="Times New Roman" w:hAnsi="Times New Roman" w:cs="Times New Roman"/>
          <w:sz w:val="24"/>
          <w:szCs w:val="24"/>
        </w:rPr>
        <w:t xml:space="preserve">  </w:t>
      </w:r>
      <w:r w:rsidR="00C20F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0FBC" w:rsidRPr="00C20FBC">
        <w:rPr>
          <w:rFonts w:ascii="Times New Roman" w:hAnsi="Times New Roman" w:cs="Times New Roman"/>
          <w:sz w:val="24"/>
          <w:szCs w:val="24"/>
        </w:rPr>
        <w:t xml:space="preserve">              С.И.Харитонова</w:t>
      </w:r>
      <w:r w:rsidR="001D081E">
        <w:rPr>
          <w:rFonts w:ascii="Times New Roman" w:hAnsi="Times New Roman" w:cs="Times New Roman"/>
          <w:sz w:val="24"/>
          <w:szCs w:val="24"/>
        </w:rPr>
        <w:t>, главный специалист УО</w:t>
      </w:r>
    </w:p>
    <w:p w:rsidR="00FC5C29" w:rsidRDefault="00DD637C"/>
    <w:sectPr w:rsidR="00FC5C29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4FD3"/>
    <w:multiLevelType w:val="hybridMultilevel"/>
    <w:tmpl w:val="01B249AA"/>
    <w:lvl w:ilvl="0" w:tplc="3E8E5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566835"/>
    <w:rsid w:val="000B3B66"/>
    <w:rsid w:val="000C716F"/>
    <w:rsid w:val="00175486"/>
    <w:rsid w:val="001D081E"/>
    <w:rsid w:val="00566835"/>
    <w:rsid w:val="005C421D"/>
    <w:rsid w:val="008F16B6"/>
    <w:rsid w:val="009175DC"/>
    <w:rsid w:val="009813B3"/>
    <w:rsid w:val="00985379"/>
    <w:rsid w:val="00B06EB9"/>
    <w:rsid w:val="00B5798A"/>
    <w:rsid w:val="00C20FBC"/>
    <w:rsid w:val="00C55C12"/>
    <w:rsid w:val="00DD637C"/>
    <w:rsid w:val="00E85B84"/>
    <w:rsid w:val="00F04A9C"/>
    <w:rsid w:val="00FD47F2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668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6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1-22\&#1050;&#1044;&#1056;%206%20&#1063;&#1043;\&#1056;&#1077;&#1079;&#1091;&#1083;&#1100;&#1090;&#1072;&#1090;&#1099;%20&#1050;&#1044;&#1056;%2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1-22\&#1050;&#1044;&#1056;%208%20&#1087;&#1086;%20&#1045;&#1053;&#1043;\&#1056;&#1077;&#1079;&#1091;&#1083;&#1100;&#1090;&#1072;&#1090;&#1099;%20&#1050;&#1044;&#1056;%208%202022%20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1-22\&#1050;&#1044;&#1056;%208%20&#1087;&#1086;%20&#1045;&#1053;&#1043;\&#1056;&#1077;&#1079;&#1091;&#1083;&#1100;&#1090;&#1072;&#1090;&#1099;%20&#1050;&#1044;&#1056;%208%202022%20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0;&#1044;&#1056;%202021-22\&#1050;&#1044;&#1056;%207%20&#1087;&#1086;%20&#1052;&#1043;\&#1056;&#1077;&#1079;&#1091;&#1083;&#1100;&#1090;&#1072;&#1090;&#1099;%20&#1050;&#1044;&#1056;%2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13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chemeClr val="accent2"/>
              </a:solidFill>
            </c:spPr>
          </c:dPt>
          <c:dLbls>
            <c:showVal val="1"/>
          </c:dLbls>
          <c:cat>
            <c:strRef>
              <c:f>Лист3!$A$44:$A$68</c:f>
              <c:strCache>
                <c:ptCount val="25"/>
                <c:pt idx="0">
                  <c:v>Нижнетерянская </c:v>
                </c:pt>
                <c:pt idx="1">
                  <c:v> Белякинская</c:v>
                </c:pt>
                <c:pt idx="2">
                  <c:v>Говорковская </c:v>
                </c:pt>
                <c:pt idx="3">
                  <c:v> Шиверская </c:v>
                </c:pt>
                <c:pt idx="4">
                  <c:v> Богучанская  № 2</c:v>
                </c:pt>
                <c:pt idx="5">
                  <c:v> Невонская </c:v>
                </c:pt>
                <c:pt idx="6">
                  <c:v>Кежекская</c:v>
                </c:pt>
                <c:pt idx="7">
                  <c:v>  Богучанская № 1 </c:v>
                </c:pt>
                <c:pt idx="8">
                  <c:v>Богучанская  № 4</c:v>
                </c:pt>
                <c:pt idx="9">
                  <c:v>Новохайская </c:v>
                </c:pt>
                <c:pt idx="10">
                  <c:v> Таежнинская 20</c:v>
                </c:pt>
                <c:pt idx="11">
                  <c:v>Гремучинская </c:v>
                </c:pt>
                <c:pt idx="12">
                  <c:v> Осиновская</c:v>
                </c:pt>
                <c:pt idx="13">
                  <c:v>РАЙОН</c:v>
                </c:pt>
                <c:pt idx="14">
                  <c:v> Пинчугская</c:v>
                </c:pt>
                <c:pt idx="15">
                  <c:v>Чуноярская</c:v>
                </c:pt>
                <c:pt idx="16">
                  <c:v>КРАЙ</c:v>
                </c:pt>
                <c:pt idx="17">
                  <c:v> Манзенская </c:v>
                </c:pt>
                <c:pt idx="18">
                  <c:v> Октябрьская</c:v>
                </c:pt>
                <c:pt idx="19">
                  <c:v>Таежнинская  7</c:v>
                </c:pt>
                <c:pt idx="20">
                  <c:v>Ангарская </c:v>
                </c:pt>
                <c:pt idx="21">
                  <c:v>Такучетская </c:v>
                </c:pt>
                <c:pt idx="22">
                  <c:v>Артюгинская</c:v>
                </c:pt>
                <c:pt idx="23">
                  <c:v> Богучанская  № 3</c:v>
                </c:pt>
                <c:pt idx="24">
                  <c:v>Хребтовская </c:v>
                </c:pt>
              </c:strCache>
            </c:strRef>
          </c:cat>
          <c:val>
            <c:numRef>
              <c:f>Лист3!$B$44:$B$68</c:f>
              <c:numCache>
                <c:formatCode>General</c:formatCode>
                <c:ptCount val="25"/>
                <c:pt idx="0">
                  <c:v>70</c:v>
                </c:pt>
                <c:pt idx="1">
                  <c:v>64</c:v>
                </c:pt>
                <c:pt idx="2">
                  <c:v>64</c:v>
                </c:pt>
                <c:pt idx="3">
                  <c:v>64</c:v>
                </c:pt>
                <c:pt idx="4">
                  <c:v>60</c:v>
                </c:pt>
                <c:pt idx="5">
                  <c:v>59</c:v>
                </c:pt>
                <c:pt idx="6">
                  <c:v>56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54</c:v>
                </c:pt>
                <c:pt idx="12">
                  <c:v>54</c:v>
                </c:pt>
                <c:pt idx="13">
                  <c:v>54</c:v>
                </c:pt>
                <c:pt idx="14">
                  <c:v>52</c:v>
                </c:pt>
                <c:pt idx="15">
                  <c:v>52</c:v>
                </c:pt>
                <c:pt idx="16">
                  <c:v>52</c:v>
                </c:pt>
                <c:pt idx="17">
                  <c:v>51</c:v>
                </c:pt>
                <c:pt idx="18">
                  <c:v>50</c:v>
                </c:pt>
                <c:pt idx="19">
                  <c:v>50</c:v>
                </c:pt>
                <c:pt idx="20">
                  <c:v>49</c:v>
                </c:pt>
                <c:pt idx="21">
                  <c:v>49</c:v>
                </c:pt>
                <c:pt idx="22">
                  <c:v>47</c:v>
                </c:pt>
                <c:pt idx="23">
                  <c:v>47</c:v>
                </c:pt>
                <c:pt idx="24">
                  <c:v>43</c:v>
                </c:pt>
              </c:numCache>
            </c:numRef>
          </c:val>
        </c:ser>
        <c:axId val="114761088"/>
        <c:axId val="114979968"/>
      </c:barChart>
      <c:catAx>
        <c:axId val="114761088"/>
        <c:scaling>
          <c:orientation val="minMax"/>
        </c:scaling>
        <c:axPos val="b"/>
        <c:tickLblPos val="nextTo"/>
        <c:crossAx val="114979968"/>
        <c:crosses val="autoZero"/>
        <c:auto val="1"/>
        <c:lblAlgn val="ctr"/>
        <c:lblOffset val="100"/>
      </c:catAx>
      <c:valAx>
        <c:axId val="114979968"/>
        <c:scaling>
          <c:orientation val="minMax"/>
        </c:scaling>
        <c:axPos val="l"/>
        <c:majorGridlines/>
        <c:numFmt formatCode="General" sourceLinked="1"/>
        <c:tickLblPos val="nextTo"/>
        <c:crossAx val="1147610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205196572650312E-2"/>
          <c:y val="0.10484712767760758"/>
          <c:w val="0.89569255231985179"/>
          <c:h val="0.51437329931214149"/>
        </c:manualLayout>
      </c:layout>
      <c:barChart>
        <c:barDir val="col"/>
        <c:grouping val="clustered"/>
        <c:ser>
          <c:idx val="0"/>
          <c:order val="0"/>
          <c:dPt>
            <c:idx val="7"/>
            <c:spPr>
              <a:solidFill>
                <a:schemeClr val="accent2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'уровни достижений'!$H$3:$H$27</c:f>
              <c:strCache>
                <c:ptCount val="25"/>
                <c:pt idx="0">
                  <c:v>Хребтовская </c:v>
                </c:pt>
                <c:pt idx="1">
                  <c:v>Невонская</c:v>
                </c:pt>
                <c:pt idx="2">
                  <c:v>БШ 3</c:v>
                </c:pt>
                <c:pt idx="3">
                  <c:v>ТШ 20</c:v>
                </c:pt>
                <c:pt idx="4">
                  <c:v>Чуноярская</c:v>
                </c:pt>
                <c:pt idx="5">
                  <c:v>БШ 1</c:v>
                </c:pt>
                <c:pt idx="6">
                  <c:v>Новохайская</c:v>
                </c:pt>
                <c:pt idx="7">
                  <c:v>КРАЙ</c:v>
                </c:pt>
                <c:pt idx="8">
                  <c:v>Гремучинская</c:v>
                </c:pt>
                <c:pt idx="9">
                  <c:v>Октябрьская</c:v>
                </c:pt>
                <c:pt idx="10">
                  <c:v>Район</c:v>
                </c:pt>
                <c:pt idx="11">
                  <c:v>ТШ 7</c:v>
                </c:pt>
                <c:pt idx="12">
                  <c:v>БШ 4</c:v>
                </c:pt>
                <c:pt idx="13">
                  <c:v>Шиверская</c:v>
                </c:pt>
                <c:pt idx="14">
                  <c:v>Ангарская </c:v>
                </c:pt>
                <c:pt idx="15">
                  <c:v>Пинчугская</c:v>
                </c:pt>
                <c:pt idx="16">
                  <c:v>Осиновская</c:v>
                </c:pt>
                <c:pt idx="17">
                  <c:v>Манзенская</c:v>
                </c:pt>
                <c:pt idx="18">
                  <c:v>Бш 2</c:v>
                </c:pt>
                <c:pt idx="19">
                  <c:v>Артюгинская</c:v>
                </c:pt>
                <c:pt idx="20">
                  <c:v>Белякинская</c:v>
                </c:pt>
                <c:pt idx="21">
                  <c:v>Говорковская</c:v>
                </c:pt>
                <c:pt idx="22">
                  <c:v>Красногорьевская</c:v>
                </c:pt>
                <c:pt idx="23">
                  <c:v>Нижнетерянская</c:v>
                </c:pt>
                <c:pt idx="24">
                  <c:v>Такучетская</c:v>
                </c:pt>
              </c:strCache>
            </c:strRef>
          </c:cat>
          <c:val>
            <c:numRef>
              <c:f>'уровни достижений'!$I$3:$I$27</c:f>
              <c:numCache>
                <c:formatCode>0</c:formatCode>
                <c:ptCount val="25"/>
                <c:pt idx="0">
                  <c:v>43</c:v>
                </c:pt>
                <c:pt idx="1">
                  <c:v>40</c:v>
                </c:pt>
                <c:pt idx="2" formatCode="General">
                  <c:v>34</c:v>
                </c:pt>
                <c:pt idx="3">
                  <c:v>33</c:v>
                </c:pt>
                <c:pt idx="4">
                  <c:v>31</c:v>
                </c:pt>
                <c:pt idx="5" formatCode="General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11</c:v>
                </c:pt>
                <c:pt idx="12">
                  <c:v>10</c:v>
                </c:pt>
                <c:pt idx="13">
                  <c:v>10</c:v>
                </c:pt>
                <c:pt idx="14" formatCode="General">
                  <c:v>9</c:v>
                </c:pt>
                <c:pt idx="15">
                  <c:v>9</c:v>
                </c:pt>
                <c:pt idx="16">
                  <c:v>8</c:v>
                </c:pt>
                <c:pt idx="17">
                  <c:v>7</c:v>
                </c:pt>
                <c:pt idx="18" formatCode="General">
                  <c:v>5</c:v>
                </c:pt>
                <c:pt idx="19" formatCode="0%">
                  <c:v>0</c:v>
                </c:pt>
                <c:pt idx="20" formatCode="0%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axId val="127719296"/>
        <c:axId val="129123456"/>
      </c:barChart>
      <c:catAx>
        <c:axId val="127719296"/>
        <c:scaling>
          <c:orientation val="minMax"/>
        </c:scaling>
        <c:axPos val="b"/>
        <c:tickLblPos val="nextTo"/>
        <c:crossAx val="129123456"/>
        <c:crosses val="autoZero"/>
        <c:auto val="1"/>
        <c:lblAlgn val="ctr"/>
        <c:lblOffset val="100"/>
      </c:catAx>
      <c:valAx>
        <c:axId val="129123456"/>
        <c:scaling>
          <c:orientation val="minMax"/>
        </c:scaling>
        <c:axPos val="l"/>
        <c:majorGridlines/>
        <c:numFmt formatCode="0" sourceLinked="1"/>
        <c:tickLblPos val="nextTo"/>
        <c:crossAx val="1277192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'уровни достижений'!$I$30</c:f>
              <c:strCache>
                <c:ptCount val="1"/>
                <c:pt idx="0">
                  <c:v>Базовый</c:v>
                </c:pt>
              </c:strCache>
            </c:strRef>
          </c:tx>
          <c:dPt>
            <c:idx val="10"/>
            <c:spPr>
              <a:solidFill>
                <a:srgbClr val="C0000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'уровни достижений'!$H$31:$H$55</c:f>
              <c:strCache>
                <c:ptCount val="25"/>
                <c:pt idx="0">
                  <c:v>Белякинская</c:v>
                </c:pt>
                <c:pt idx="1">
                  <c:v>Нижнетерянская</c:v>
                </c:pt>
                <c:pt idx="2">
                  <c:v>Красногорьевская</c:v>
                </c:pt>
                <c:pt idx="3">
                  <c:v>БШ 4</c:v>
                </c:pt>
                <c:pt idx="4">
                  <c:v>Ангарская </c:v>
                </c:pt>
                <c:pt idx="5">
                  <c:v>Октябрьская</c:v>
                </c:pt>
                <c:pt idx="6">
                  <c:v>Осиновская</c:v>
                </c:pt>
                <c:pt idx="7">
                  <c:v>БШ 1</c:v>
                </c:pt>
                <c:pt idx="8">
                  <c:v>Гремучинская</c:v>
                </c:pt>
                <c:pt idx="9">
                  <c:v>Новохайская</c:v>
                </c:pt>
                <c:pt idx="10">
                  <c:v>КРАЙ</c:v>
                </c:pt>
                <c:pt idx="11">
                  <c:v>Чуноярская</c:v>
                </c:pt>
                <c:pt idx="12">
                  <c:v>Бш 2</c:v>
                </c:pt>
                <c:pt idx="13">
                  <c:v>Район</c:v>
                </c:pt>
                <c:pt idx="14">
                  <c:v>Пинчугская</c:v>
                </c:pt>
                <c:pt idx="15">
                  <c:v>Хребтовская </c:v>
                </c:pt>
                <c:pt idx="16">
                  <c:v>Манзенская</c:v>
                </c:pt>
                <c:pt idx="17">
                  <c:v>БШ 3</c:v>
                </c:pt>
                <c:pt idx="18">
                  <c:v>Говорковская</c:v>
                </c:pt>
                <c:pt idx="19">
                  <c:v>ТШ 20</c:v>
                </c:pt>
                <c:pt idx="20">
                  <c:v>Такучетская</c:v>
                </c:pt>
                <c:pt idx="21">
                  <c:v>Шиверская</c:v>
                </c:pt>
                <c:pt idx="22">
                  <c:v>ТШ 7</c:v>
                </c:pt>
                <c:pt idx="23">
                  <c:v>Невонская</c:v>
                </c:pt>
                <c:pt idx="24">
                  <c:v>Артюгинская</c:v>
                </c:pt>
              </c:strCache>
            </c:strRef>
          </c:cat>
          <c:val>
            <c:numRef>
              <c:f>'уровни достижений'!$I$31:$I$55</c:f>
              <c:numCache>
                <c:formatCode>0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80</c:v>
                </c:pt>
                <c:pt idx="4" formatCode="General">
                  <c:v>77</c:v>
                </c:pt>
                <c:pt idx="5" formatCode="General">
                  <c:v>77</c:v>
                </c:pt>
                <c:pt idx="6">
                  <c:v>75</c:v>
                </c:pt>
                <c:pt idx="7" formatCode="General">
                  <c:v>69</c:v>
                </c:pt>
                <c:pt idx="8">
                  <c:v>69</c:v>
                </c:pt>
                <c:pt idx="9">
                  <c:v>67</c:v>
                </c:pt>
                <c:pt idx="10">
                  <c:v>65</c:v>
                </c:pt>
                <c:pt idx="11">
                  <c:v>64</c:v>
                </c:pt>
                <c:pt idx="12" formatCode="General">
                  <c:v>63</c:v>
                </c:pt>
                <c:pt idx="13">
                  <c:v>63</c:v>
                </c:pt>
                <c:pt idx="14">
                  <c:v>59</c:v>
                </c:pt>
                <c:pt idx="15">
                  <c:v>57</c:v>
                </c:pt>
                <c:pt idx="16">
                  <c:v>53</c:v>
                </c:pt>
                <c:pt idx="17" formatCode="General">
                  <c:v>52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42</c:v>
                </c:pt>
                <c:pt idx="23">
                  <c:v>40</c:v>
                </c:pt>
                <c:pt idx="24">
                  <c:v>33</c:v>
                </c:pt>
              </c:numCache>
            </c:numRef>
          </c:val>
        </c:ser>
        <c:axId val="129133184"/>
        <c:axId val="104690048"/>
      </c:barChart>
      <c:catAx>
        <c:axId val="129133184"/>
        <c:scaling>
          <c:orientation val="minMax"/>
        </c:scaling>
        <c:axPos val="b"/>
        <c:tickLblPos val="nextTo"/>
        <c:crossAx val="104690048"/>
        <c:crosses val="autoZero"/>
        <c:auto val="1"/>
        <c:lblAlgn val="ctr"/>
        <c:lblOffset val="100"/>
      </c:catAx>
      <c:valAx>
        <c:axId val="104690048"/>
        <c:scaling>
          <c:orientation val="minMax"/>
        </c:scaling>
        <c:axPos val="l"/>
        <c:majorGridlines/>
        <c:numFmt formatCode="0" sourceLinked="1"/>
        <c:tickLblPos val="nextTo"/>
        <c:crossAx val="1291331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'Уровни МГ'!$B$4</c:f>
              <c:strCache>
                <c:ptCount val="1"/>
                <c:pt idx="0">
                  <c:v>Ниже базового</c:v>
                </c:pt>
              </c:strCache>
            </c:strRef>
          </c:tx>
          <c:dLbls>
            <c:showVal val="1"/>
          </c:dLbls>
          <c:cat>
            <c:strRef>
              <c:f>'Уровни МГ'!$A$5:$A$28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'Уровни МГ'!$B$5:$B$28</c:f>
              <c:numCache>
                <c:formatCode>General</c:formatCode>
                <c:ptCount val="24"/>
                <c:pt idx="0">
                  <c:v>70</c:v>
                </c:pt>
                <c:pt idx="1">
                  <c:v>83</c:v>
                </c:pt>
                <c:pt idx="2">
                  <c:v>29</c:v>
                </c:pt>
                <c:pt idx="3">
                  <c:v>32</c:v>
                </c:pt>
                <c:pt idx="4">
                  <c:v>79</c:v>
                </c:pt>
                <c:pt idx="5">
                  <c:v>62</c:v>
                </c:pt>
                <c:pt idx="6">
                  <c:v>0</c:v>
                </c:pt>
                <c:pt idx="7">
                  <c:v>55</c:v>
                </c:pt>
                <c:pt idx="8">
                  <c:v>100</c:v>
                </c:pt>
                <c:pt idx="9">
                  <c:v>72</c:v>
                </c:pt>
                <c:pt idx="10">
                  <c:v>0</c:v>
                </c:pt>
                <c:pt idx="11">
                  <c:v>13</c:v>
                </c:pt>
                <c:pt idx="12">
                  <c:v>0</c:v>
                </c:pt>
                <c:pt idx="13">
                  <c:v>71</c:v>
                </c:pt>
                <c:pt idx="14">
                  <c:v>68</c:v>
                </c:pt>
                <c:pt idx="15">
                  <c:v>43</c:v>
                </c:pt>
                <c:pt idx="16">
                  <c:v>88</c:v>
                </c:pt>
                <c:pt idx="17" formatCode="0">
                  <c:v>21</c:v>
                </c:pt>
                <c:pt idx="18">
                  <c:v>67</c:v>
                </c:pt>
                <c:pt idx="19">
                  <c:v>0</c:v>
                </c:pt>
                <c:pt idx="20">
                  <c:v>48</c:v>
                </c:pt>
                <c:pt idx="21">
                  <c:v>8</c:v>
                </c:pt>
                <c:pt idx="22" formatCode="0">
                  <c:v>45.863636363636097</c:v>
                </c:pt>
                <c:pt idx="23">
                  <c:v>52</c:v>
                </c:pt>
              </c:numCache>
            </c:numRef>
          </c:val>
        </c:ser>
        <c:ser>
          <c:idx val="1"/>
          <c:order val="1"/>
          <c:tx>
            <c:strRef>
              <c:f>'Уровни МГ'!$C$4</c:f>
              <c:strCache>
                <c:ptCount val="1"/>
                <c:pt idx="0">
                  <c:v>Базовый</c:v>
                </c:pt>
              </c:strCache>
            </c:strRef>
          </c:tx>
          <c:dLbls>
            <c:showVal val="1"/>
          </c:dLbls>
          <c:cat>
            <c:strRef>
              <c:f>'Уровни МГ'!$A$5:$A$28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'Уровни МГ'!$C$5:$C$28</c:f>
              <c:numCache>
                <c:formatCode>General</c:formatCode>
                <c:ptCount val="24"/>
                <c:pt idx="0">
                  <c:v>30</c:v>
                </c:pt>
                <c:pt idx="1">
                  <c:v>17</c:v>
                </c:pt>
                <c:pt idx="2">
                  <c:v>71</c:v>
                </c:pt>
                <c:pt idx="3">
                  <c:v>61</c:v>
                </c:pt>
                <c:pt idx="4">
                  <c:v>18</c:v>
                </c:pt>
                <c:pt idx="5">
                  <c:v>38</c:v>
                </c:pt>
                <c:pt idx="6">
                  <c:v>100</c:v>
                </c:pt>
                <c:pt idx="7">
                  <c:v>45</c:v>
                </c:pt>
                <c:pt idx="8">
                  <c:v>0</c:v>
                </c:pt>
                <c:pt idx="9">
                  <c:v>22</c:v>
                </c:pt>
                <c:pt idx="10">
                  <c:v>90</c:v>
                </c:pt>
                <c:pt idx="11">
                  <c:v>73</c:v>
                </c:pt>
                <c:pt idx="12">
                  <c:v>0</c:v>
                </c:pt>
                <c:pt idx="13">
                  <c:v>14</c:v>
                </c:pt>
                <c:pt idx="14">
                  <c:v>24</c:v>
                </c:pt>
                <c:pt idx="15">
                  <c:v>43</c:v>
                </c:pt>
                <c:pt idx="16">
                  <c:v>12</c:v>
                </c:pt>
                <c:pt idx="17" formatCode="0">
                  <c:v>63</c:v>
                </c:pt>
                <c:pt idx="18">
                  <c:v>26</c:v>
                </c:pt>
                <c:pt idx="19">
                  <c:v>0</c:v>
                </c:pt>
                <c:pt idx="20">
                  <c:v>43</c:v>
                </c:pt>
                <c:pt idx="21">
                  <c:v>62</c:v>
                </c:pt>
                <c:pt idx="22" formatCode="0">
                  <c:v>38.727272727272762</c:v>
                </c:pt>
                <c:pt idx="23">
                  <c:v>27</c:v>
                </c:pt>
              </c:numCache>
            </c:numRef>
          </c:val>
        </c:ser>
        <c:ser>
          <c:idx val="2"/>
          <c:order val="2"/>
          <c:tx>
            <c:strRef>
              <c:f>'Уровни МГ'!$D$4</c:f>
              <c:strCache>
                <c:ptCount val="1"/>
                <c:pt idx="0">
                  <c:v>Повышенный</c:v>
                </c:pt>
              </c:strCache>
            </c:strRef>
          </c:tx>
          <c:dLbls>
            <c:showVal val="1"/>
          </c:dLbls>
          <c:cat>
            <c:strRef>
              <c:f>'Уровни МГ'!$A$5:$A$28</c:f>
              <c:strCache>
                <c:ptCount val="24"/>
                <c:pt idx="0">
                  <c:v>Ангарская </c:v>
                </c:pt>
                <c:pt idx="1">
                  <c:v>Артюгинская</c:v>
                </c:pt>
                <c:pt idx="2">
                  <c:v>БШ 1</c:v>
                </c:pt>
                <c:pt idx="3">
                  <c:v>Бш 2</c:v>
                </c:pt>
                <c:pt idx="4">
                  <c:v>БШ 3</c:v>
                </c:pt>
                <c:pt idx="5">
                  <c:v>БШ 4</c:v>
                </c:pt>
                <c:pt idx="6">
                  <c:v>Говорковская</c:v>
                </c:pt>
                <c:pt idx="7">
                  <c:v>Гремучинская</c:v>
                </c:pt>
                <c:pt idx="8">
                  <c:v>Кежекская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Чуноярская</c:v>
                </c:pt>
                <c:pt idx="21">
                  <c:v>Шиверская</c:v>
                </c:pt>
                <c:pt idx="22">
                  <c:v>Район</c:v>
                </c:pt>
                <c:pt idx="23">
                  <c:v>КРАЙ</c:v>
                </c:pt>
              </c:strCache>
            </c:strRef>
          </c:cat>
          <c:val>
            <c:numRef>
              <c:f>'Уровни МГ'!$D$5:$D$28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10</c:v>
                </c:pt>
                <c:pt idx="11">
                  <c:v>13</c:v>
                </c:pt>
                <c:pt idx="12">
                  <c:v>100</c:v>
                </c:pt>
                <c:pt idx="13">
                  <c:v>14</c:v>
                </c:pt>
                <c:pt idx="14">
                  <c:v>8</c:v>
                </c:pt>
                <c:pt idx="15">
                  <c:v>14</c:v>
                </c:pt>
                <c:pt idx="16">
                  <c:v>0</c:v>
                </c:pt>
                <c:pt idx="17" formatCode="0">
                  <c:v>17</c:v>
                </c:pt>
                <c:pt idx="18">
                  <c:v>8</c:v>
                </c:pt>
                <c:pt idx="19">
                  <c:v>100</c:v>
                </c:pt>
                <c:pt idx="20">
                  <c:v>9</c:v>
                </c:pt>
                <c:pt idx="21">
                  <c:v>31</c:v>
                </c:pt>
                <c:pt idx="22" formatCode="0">
                  <c:v>15.454545454545476</c:v>
                </c:pt>
                <c:pt idx="23">
                  <c:v>20</c:v>
                </c:pt>
              </c:numCache>
            </c:numRef>
          </c:val>
        </c:ser>
        <c:axId val="104700928"/>
        <c:axId val="104710912"/>
      </c:barChart>
      <c:catAx>
        <c:axId val="104700928"/>
        <c:scaling>
          <c:orientation val="minMax"/>
        </c:scaling>
        <c:axPos val="b"/>
        <c:tickLblPos val="nextTo"/>
        <c:crossAx val="104710912"/>
        <c:crosses val="autoZero"/>
        <c:auto val="1"/>
        <c:lblAlgn val="ctr"/>
        <c:lblOffset val="100"/>
      </c:catAx>
      <c:valAx>
        <c:axId val="104710912"/>
        <c:scaling>
          <c:orientation val="minMax"/>
        </c:scaling>
        <c:axPos val="l"/>
        <c:majorGridlines/>
        <c:numFmt formatCode="General" sourceLinked="1"/>
        <c:tickLblPos val="nextTo"/>
        <c:crossAx val="1047009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1617</Words>
  <Characters>9220</Characters>
  <Application>Microsoft Office Word</Application>
  <DocSecurity>0</DocSecurity>
  <Lines>76</Lines>
  <Paragraphs>21</Paragraphs>
  <ScaleCrop>false</ScaleCrop>
  <Company>УО администрации Богучанского района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15</cp:revision>
  <dcterms:created xsi:type="dcterms:W3CDTF">2022-07-01T07:51:00Z</dcterms:created>
  <dcterms:modified xsi:type="dcterms:W3CDTF">2022-07-01T08:00:00Z</dcterms:modified>
</cp:coreProperties>
</file>