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4945F3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0853D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45F3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4945F3">
        <w:rPr>
          <w:rFonts w:ascii="Times New Roman" w:hAnsi="Times New Roman" w:cs="Times New Roman"/>
          <w:sz w:val="20"/>
          <w:szCs w:val="20"/>
        </w:rPr>
        <w:t>егламенту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4945F3">
        <w:rPr>
          <w:rFonts w:ascii="Times New Roman" w:hAnsi="Times New Roman" w:cs="Times New Roman"/>
          <w:sz w:val="20"/>
          <w:szCs w:val="20"/>
        </w:rPr>
        <w:t>"Предоставление информации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4945F3">
        <w:rPr>
          <w:rFonts w:ascii="Times New Roman" w:hAnsi="Times New Roman" w:cs="Times New Roman"/>
          <w:sz w:val="20"/>
          <w:szCs w:val="20"/>
        </w:rPr>
        <w:t>о текущей успеваемости учащегося,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Pr="004945F3">
        <w:rPr>
          <w:rFonts w:ascii="Times New Roman" w:hAnsi="Times New Roman" w:cs="Times New Roman"/>
          <w:sz w:val="20"/>
          <w:szCs w:val="20"/>
        </w:rPr>
        <w:t>ведении</w:t>
      </w:r>
      <w:proofErr w:type="gramEnd"/>
      <w:r w:rsidRPr="004945F3">
        <w:rPr>
          <w:rFonts w:ascii="Times New Roman" w:hAnsi="Times New Roman" w:cs="Times New Roman"/>
          <w:sz w:val="20"/>
          <w:szCs w:val="20"/>
        </w:rPr>
        <w:t xml:space="preserve"> электронного дневника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945F3">
        <w:rPr>
          <w:rFonts w:ascii="Times New Roman" w:hAnsi="Times New Roman" w:cs="Times New Roman"/>
          <w:sz w:val="20"/>
          <w:szCs w:val="20"/>
        </w:rPr>
        <w:t>и электронного журнала успеваемости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4945F3">
        <w:rPr>
          <w:rFonts w:ascii="Times New Roman" w:hAnsi="Times New Roman" w:cs="Times New Roman"/>
          <w:sz w:val="20"/>
          <w:szCs w:val="20"/>
        </w:rPr>
        <w:t>в общеобразовательных учреждениях,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4945F3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4945F3">
        <w:rPr>
          <w:rFonts w:ascii="Times New Roman" w:hAnsi="Times New Roman" w:cs="Times New Roman"/>
          <w:sz w:val="20"/>
          <w:szCs w:val="20"/>
        </w:rPr>
        <w:t xml:space="preserve"> на территории</w:t>
      </w:r>
    </w:p>
    <w:p w:rsidR="004945F3" w:rsidRPr="004945F3" w:rsidRDefault="004945F3" w:rsidP="004945F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Богучанского района</w:t>
      </w:r>
      <w:r w:rsidRPr="004945F3">
        <w:rPr>
          <w:rFonts w:ascii="Courier New" w:hAnsi="Courier New" w:cs="Courier New"/>
          <w:sz w:val="20"/>
          <w:szCs w:val="20"/>
        </w:rPr>
        <w:t>"</w:t>
      </w:r>
    </w:p>
    <w:p w:rsidR="004945F3" w:rsidRDefault="004945F3" w:rsidP="004945F3">
      <w:pPr>
        <w:pStyle w:val="ConsPlusNormal"/>
        <w:jc w:val="right"/>
      </w:pPr>
    </w:p>
    <w:p w:rsidR="004945F3" w:rsidRDefault="004945F3" w:rsidP="004945F3">
      <w:pPr>
        <w:pStyle w:val="ConsPlusNormal"/>
        <w:jc w:val="center"/>
      </w:pPr>
      <w:r>
        <w:t>БЛОК-СХЕМА</w:t>
      </w:r>
    </w:p>
    <w:p w:rsidR="004945F3" w:rsidRDefault="004945F3" w:rsidP="004945F3">
      <w:pPr>
        <w:pStyle w:val="ConsPlusNormal"/>
        <w:jc w:val="center"/>
      </w:pPr>
      <w:r>
        <w:t>ПРЕДОСТАВЛЕНИЯ МУНИЦИПАЛЬНОЙ УСЛУГИ ПО ПРЕДОСТАВЛЕНИЮ</w:t>
      </w:r>
    </w:p>
    <w:p w:rsidR="004945F3" w:rsidRDefault="004945F3" w:rsidP="004945F3">
      <w:pPr>
        <w:pStyle w:val="ConsPlusNormal"/>
        <w:jc w:val="center"/>
      </w:pPr>
      <w:r>
        <w:t>ИНФОРМАЦИИ О ТЕКУЩЕЙ УСПЕВАЕМОСТИ УЧАЩЕГОСЯ, ВЕДЕНИИ</w:t>
      </w:r>
    </w:p>
    <w:p w:rsidR="004945F3" w:rsidRDefault="004945F3" w:rsidP="004945F3">
      <w:pPr>
        <w:pStyle w:val="ConsPlusNormal"/>
        <w:jc w:val="center"/>
      </w:pPr>
      <w:r>
        <w:t>ЭЛЕКТРОННОГО ДНЕВНИКА И ЭЛЕКТРОННОГО ЖУРНАЛА УСПЕВАЕМОСТИ</w:t>
      </w:r>
    </w:p>
    <w:p w:rsidR="004945F3" w:rsidRDefault="004945F3" w:rsidP="004945F3">
      <w:pPr>
        <w:pStyle w:val="ConsPlusNormal"/>
        <w:jc w:val="center"/>
      </w:pPr>
      <w:r>
        <w:t>В ОБЩЕОБРАЗОВАТЕЛЬНЫХ УЧРЕЖДЕНИЯХ, РАСПОЛОЖЕННЫХ НА ТЕРРИТОРИИ</w:t>
      </w:r>
    </w:p>
    <w:p w:rsidR="004945F3" w:rsidRDefault="004945F3" w:rsidP="004945F3">
      <w:pPr>
        <w:pStyle w:val="ConsPlusNormal"/>
        <w:jc w:val="center"/>
      </w:pPr>
      <w:r>
        <w:t>БОГУЧАНСКОГО РАЙОНА</w:t>
      </w:r>
    </w:p>
    <w:p w:rsidR="004945F3" w:rsidRDefault="004945F3" w:rsidP="004945F3">
      <w:pPr>
        <w:pStyle w:val="ConsPlusNormal"/>
        <w:jc w:val="center"/>
      </w:pPr>
    </w:p>
    <w:p w:rsidR="004945F3" w:rsidRDefault="004945F3" w:rsidP="004945F3">
      <w:pPr>
        <w:pStyle w:val="ConsPlusNonformat"/>
        <w:jc w:val="both"/>
      </w:pPr>
      <w:r>
        <w:t xml:space="preserve">                             (──────────────)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│    Начало    │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(───────┬──────)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       │</w:t>
      </w:r>
    </w:p>
    <w:p w:rsidR="004945F3" w:rsidRDefault="004945F3" w:rsidP="004945F3">
      <w:pPr>
        <w:pStyle w:val="ConsPlusNonformat"/>
        <w:jc w:val="both"/>
      </w:pPr>
      <w:r>
        <w:t xml:space="preserve">              /──────────────────────┴───────────────────────────/</w:t>
      </w:r>
    </w:p>
    <w:p w:rsidR="004945F3" w:rsidRDefault="004945F3" w:rsidP="004945F3">
      <w:pPr>
        <w:pStyle w:val="ConsPlusNonformat"/>
        <w:jc w:val="both"/>
      </w:pPr>
      <w:r>
        <w:t xml:space="preserve">             /    Обращение заявителя (</w:t>
      </w:r>
      <w:hyperlink r:id="rId4" w:history="1">
        <w:r>
          <w:rPr>
            <w:color w:val="0000FF"/>
          </w:rPr>
          <w:t>пункт 12</w:t>
        </w:r>
      </w:hyperlink>
      <w:r>
        <w:t xml:space="preserve"> Регламента)     /</w:t>
      </w:r>
    </w:p>
    <w:p w:rsidR="004945F3" w:rsidRDefault="004945F3" w:rsidP="004945F3">
      <w:pPr>
        <w:pStyle w:val="ConsPlusNonformat"/>
        <w:jc w:val="both"/>
      </w:pPr>
      <w:r>
        <w:t xml:space="preserve">            /────────────────────────┬─────────────────────────/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       │</w:t>
      </w:r>
    </w:p>
    <w:p w:rsidR="004945F3" w:rsidRDefault="004945F3" w:rsidP="004945F3">
      <w:pPr>
        <w:pStyle w:val="ConsPlusNonformat"/>
        <w:jc w:val="both"/>
      </w:pPr>
      <w:r>
        <w:t xml:space="preserve">              ┌──────────────────────┴──────────────────────┐</w:t>
      </w:r>
    </w:p>
    <w:p w:rsidR="004945F3" w:rsidRDefault="004945F3" w:rsidP="004945F3">
      <w:pPr>
        <w:pStyle w:val="ConsPlusNonformat"/>
        <w:jc w:val="both"/>
      </w:pPr>
      <w:r>
        <w:t xml:space="preserve">              │        Прием и регистрация обращения        │</w:t>
      </w:r>
    </w:p>
    <w:p w:rsidR="004945F3" w:rsidRDefault="004945F3" w:rsidP="004945F3">
      <w:pPr>
        <w:pStyle w:val="ConsPlusNonformat"/>
        <w:jc w:val="both"/>
      </w:pPr>
      <w:r>
        <w:t xml:space="preserve">              │     от заявителя (</w:t>
      </w:r>
      <w:hyperlink r:id="rId5" w:history="1">
        <w:r>
          <w:rPr>
            <w:color w:val="0000FF"/>
          </w:rPr>
          <w:t>пункт 23</w:t>
        </w:r>
      </w:hyperlink>
      <w:r>
        <w:t xml:space="preserve"> Регламента)      │</w:t>
      </w:r>
    </w:p>
    <w:p w:rsidR="004945F3" w:rsidRDefault="004945F3" w:rsidP="004945F3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       │</w:t>
      </w:r>
    </w:p>
    <w:p w:rsidR="004945F3" w:rsidRDefault="004945F3" w:rsidP="004945F3">
      <w:pPr>
        <w:pStyle w:val="ConsPlusNonformat"/>
        <w:jc w:val="both"/>
      </w:pPr>
      <w:r>
        <w:t xml:space="preserve">              ┌──────────────────────┴──────────────────────┐</w:t>
      </w:r>
    </w:p>
    <w:p w:rsidR="004945F3" w:rsidRDefault="004945F3" w:rsidP="004945F3">
      <w:pPr>
        <w:pStyle w:val="ConsPlusNonformat"/>
        <w:jc w:val="both"/>
      </w:pPr>
      <w:r>
        <w:t xml:space="preserve">              </w:t>
      </w:r>
      <w:proofErr w:type="spellStart"/>
      <w:r>
        <w:t>│Рассмотрение</w:t>
      </w:r>
      <w:proofErr w:type="spellEnd"/>
      <w:r>
        <w:t xml:space="preserve"> обращения (</w:t>
      </w:r>
      <w:hyperlink r:id="rId6" w:history="1">
        <w:r>
          <w:rPr>
            <w:color w:val="0000FF"/>
          </w:rPr>
          <w:t>пункт 25</w:t>
        </w:r>
      </w:hyperlink>
      <w:r>
        <w:t xml:space="preserve"> Регламента) │</w:t>
      </w:r>
    </w:p>
    <w:p w:rsidR="004945F3" w:rsidRDefault="004945F3" w:rsidP="004945F3">
      <w:pPr>
        <w:pStyle w:val="ConsPlusNonformat"/>
        <w:jc w:val="both"/>
      </w:pPr>
      <w:r>
        <w:t xml:space="preserve">              └──────────────────────┬──────────────────────┘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       \/</w:t>
      </w:r>
    </w:p>
    <w:p w:rsidR="004945F3" w:rsidRDefault="004945F3" w:rsidP="004945F3">
      <w:pPr>
        <w:pStyle w:val="ConsPlusNonformat"/>
        <w:jc w:val="both"/>
      </w:pPr>
      <w:r>
        <w:t xml:space="preserve">                    ┌────────────────/\────────────────┐</w:t>
      </w:r>
    </w:p>
    <w:p w:rsidR="004945F3" w:rsidRDefault="004945F3" w:rsidP="004945F3">
      <w:pPr>
        <w:pStyle w:val="ConsPlusNonformat"/>
        <w:jc w:val="both"/>
      </w:pPr>
      <w:r>
        <w:t xml:space="preserve">                    │   Наличие основания для отказа   │</w:t>
      </w:r>
    </w:p>
    <w:p w:rsidR="004945F3" w:rsidRDefault="004945F3" w:rsidP="004945F3">
      <w:pPr>
        <w:pStyle w:val="ConsPlusNonformat"/>
        <w:jc w:val="both"/>
      </w:pPr>
      <w:r>
        <w:t xml:space="preserve">            ┌───────&lt;      в предоставлении услуги     &gt;─────┐</w:t>
      </w:r>
    </w:p>
    <w:p w:rsidR="004945F3" w:rsidRDefault="004945F3" w:rsidP="004945F3">
      <w:pPr>
        <w:pStyle w:val="ConsPlusNonformat"/>
        <w:jc w:val="both"/>
      </w:pPr>
      <w:r>
        <w:t xml:space="preserve">            │       </w:t>
      </w:r>
      <w:proofErr w:type="spellStart"/>
      <w:r>
        <w:t>│</w:t>
      </w:r>
      <w:proofErr w:type="spellEnd"/>
      <w:r>
        <w:t xml:space="preserve">       (</w:t>
      </w:r>
      <w:hyperlink r:id="rId7" w:history="1">
        <w:r>
          <w:rPr>
            <w:color w:val="0000FF"/>
          </w:rPr>
          <w:t>пункт 14</w:t>
        </w:r>
      </w:hyperlink>
      <w:r>
        <w:t xml:space="preserve"> Регламента)      │     </w:t>
      </w:r>
      <w:proofErr w:type="spellStart"/>
      <w:r>
        <w:t>│</w:t>
      </w:r>
      <w:proofErr w:type="spellEnd"/>
    </w:p>
    <w:p w:rsidR="004945F3" w:rsidRDefault="004945F3" w:rsidP="004945F3">
      <w:pPr>
        <w:pStyle w:val="ConsPlusNonformat"/>
        <w:jc w:val="both"/>
      </w:pPr>
      <w:r>
        <w:t xml:space="preserve">            │       └────────────────\/────────────────┘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                      </w:t>
      </w:r>
      <w:proofErr w:type="spellStart"/>
      <w:r>
        <w:t>│</w:t>
      </w:r>
      <w:proofErr w:type="spellEnd"/>
    </w:p>
    <w:p w:rsidR="004945F3" w:rsidRDefault="004945F3" w:rsidP="004945F3">
      <w:pPr>
        <w:pStyle w:val="ConsPlusNonformat"/>
        <w:jc w:val="both"/>
      </w:pPr>
      <w:r>
        <w:t xml:space="preserve"> ┌──────────┴──────────────────────┐   ┌─────────────────────┴──────────┐</w:t>
      </w:r>
    </w:p>
    <w:p w:rsidR="004945F3" w:rsidRDefault="004945F3" w:rsidP="004945F3">
      <w:pPr>
        <w:pStyle w:val="ConsPlusNonformat"/>
        <w:jc w:val="both"/>
      </w:pPr>
      <w:r>
        <w:t xml:space="preserve"> │ Уведомление заявителя об отказе │   </w:t>
      </w:r>
      <w:proofErr w:type="spellStart"/>
      <w:r>
        <w:t>│</w:t>
      </w:r>
      <w:proofErr w:type="spellEnd"/>
      <w:r>
        <w:t xml:space="preserve">     Сбор, анализ, обобщение    │</w:t>
      </w:r>
    </w:p>
    <w:p w:rsidR="004945F3" w:rsidRDefault="004945F3" w:rsidP="004945F3">
      <w:pPr>
        <w:pStyle w:val="ConsPlusNonformat"/>
        <w:jc w:val="both"/>
      </w:pPr>
      <w:r>
        <w:t xml:space="preserve"> │ в предоставлении муниципальной  │   </w:t>
      </w:r>
      <w:proofErr w:type="spellStart"/>
      <w:r>
        <w:t>│</w:t>
      </w:r>
      <w:proofErr w:type="spellEnd"/>
      <w:r>
        <w:t xml:space="preserve">     и подготовка информации    │</w:t>
      </w:r>
    </w:p>
    <w:p w:rsidR="004945F3" w:rsidRDefault="004945F3" w:rsidP="004945F3">
      <w:pPr>
        <w:pStyle w:val="ConsPlusNonformat"/>
        <w:jc w:val="both"/>
      </w:pPr>
      <w:r>
        <w:t xml:space="preserve"> │   услуги, разъяснение причин    │   </w:t>
      </w:r>
      <w:proofErr w:type="spellStart"/>
      <w:r>
        <w:t>│</w:t>
      </w:r>
      <w:proofErr w:type="spellEnd"/>
      <w:r>
        <w:t xml:space="preserve">      (</w:t>
      </w:r>
      <w:hyperlink r:id="rId8" w:history="1">
        <w:r>
          <w:rPr>
            <w:color w:val="0000FF"/>
          </w:rPr>
          <w:t>пункт 26</w:t>
        </w:r>
      </w:hyperlink>
      <w:r>
        <w:t xml:space="preserve"> Регламента)     │</w:t>
      </w:r>
    </w:p>
    <w:p w:rsidR="004945F3" w:rsidRDefault="004945F3" w:rsidP="004945F3">
      <w:pPr>
        <w:pStyle w:val="ConsPlusNonformat"/>
        <w:jc w:val="both"/>
      </w:pPr>
      <w:r>
        <w:t xml:space="preserve"> │  отказа (</w:t>
      </w:r>
      <w:hyperlink r:id="rId9" w:history="1">
        <w:r>
          <w:rPr>
            <w:color w:val="0000FF"/>
          </w:rPr>
          <w:t>пункт 25</w:t>
        </w:r>
      </w:hyperlink>
      <w:r>
        <w:t xml:space="preserve"> Регламента)   │   └─────────────────────┬──────────┘</w:t>
      </w:r>
    </w:p>
    <w:p w:rsidR="004945F3" w:rsidRDefault="004945F3" w:rsidP="004945F3">
      <w:pPr>
        <w:pStyle w:val="ConsPlusNonformat"/>
        <w:jc w:val="both"/>
      </w:pPr>
      <w:r>
        <w:t xml:space="preserve"> └──────────┬──────────────────────┘                    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┌─────────────────────┴──────────┐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Подготовка и направление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заявителю ответа на </w:t>
      </w:r>
      <w:proofErr w:type="gramStart"/>
      <w:r>
        <w:t>письменное</w:t>
      </w:r>
      <w:proofErr w:type="gramEnd"/>
      <w:r>
        <w:t xml:space="preserve">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  обращение либо выдача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     информационных    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 (справочных) материалов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 (при личном обращении)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</w:t>
      </w:r>
      <w:proofErr w:type="spellStart"/>
      <w:r>
        <w:t>│</w:t>
      </w:r>
      <w:proofErr w:type="spellEnd"/>
      <w:r>
        <w:t xml:space="preserve">      (</w:t>
      </w:r>
      <w:hyperlink r:id="rId10" w:history="1">
        <w:r>
          <w:rPr>
            <w:color w:val="0000FF"/>
          </w:rPr>
          <w:t>пункт 27</w:t>
        </w:r>
      </w:hyperlink>
      <w:r>
        <w:t xml:space="preserve"> Регламента)     │</w:t>
      </w:r>
    </w:p>
    <w:p w:rsidR="004945F3" w:rsidRDefault="004945F3" w:rsidP="004945F3">
      <w:pPr>
        <w:pStyle w:val="ConsPlusNonformat"/>
        <w:jc w:val="both"/>
      </w:pPr>
      <w:r>
        <w:t xml:space="preserve">            │                          └─────────────────────┬──────────┘</w:t>
      </w:r>
    </w:p>
    <w:p w:rsidR="004945F3" w:rsidRDefault="004945F3" w:rsidP="004945F3">
      <w:pPr>
        <w:pStyle w:val="ConsPlusNonformat"/>
        <w:jc w:val="both"/>
      </w:pPr>
      <w:r>
        <w:t xml:space="preserve">            └─────────────────────────┬──────────────────────┘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        │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(───────┴─────)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│    Конец    │</w:t>
      </w:r>
    </w:p>
    <w:p w:rsidR="004945F3" w:rsidRDefault="004945F3" w:rsidP="004945F3">
      <w:pPr>
        <w:pStyle w:val="ConsPlusNonformat"/>
        <w:jc w:val="both"/>
      </w:pPr>
      <w:r>
        <w:t xml:space="preserve">                              (─────────────)</w:t>
      </w:r>
    </w:p>
    <w:p w:rsidR="00983247" w:rsidRDefault="00983247"/>
    <w:sectPr w:rsidR="00983247" w:rsidSect="004945F3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5F3"/>
    <w:rsid w:val="00035429"/>
    <w:rsid w:val="000853D5"/>
    <w:rsid w:val="004945F3"/>
    <w:rsid w:val="0098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45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2BEEB90E352A27C42B96395212B24019B1F6C3F701C385987BC77382915C9124912En0h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C376E50E03E52C92D2BEEB90E352A27C42B96395212B24019B1F6C3F701C385987BC77382915C9124922Fn0hC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6C376E50E03E52C92D2BEEB90E352A27C42B96395212B24019B1F6C3F701C385987BC77382915C91249128n0h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6C376E50E03E52C92D2BEEB90E352A27C42B96395212B24019B1F6C3F701C385987BC77382915C9124912An0hDF" TargetMode="External"/><Relationship Id="rId10" Type="http://schemas.openxmlformats.org/officeDocument/2006/relationships/hyperlink" Target="consultantplus://offline/ref=A06C376E50E03E52C92D2BEEB90E352A27C42B96395212B24019B1F6C3F701C385987BC77382915C9124912Cn0hEF" TargetMode="External"/><Relationship Id="rId4" Type="http://schemas.openxmlformats.org/officeDocument/2006/relationships/hyperlink" Target="consultantplus://offline/ref=A06C376E50E03E52C92D2BEEB90E352A27C42B96395212B24019B1F6C3F701C385987BC77382915C9124922Bn0h5F" TargetMode="External"/><Relationship Id="rId9" Type="http://schemas.openxmlformats.org/officeDocument/2006/relationships/hyperlink" Target="consultantplus://offline/ref=A06C376E50E03E52C92D2BEEB90E352A27C42B96395212B24019B1F6C3F701C385987BC77382915C91249128n0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758</Words>
  <Characters>4321</Characters>
  <Application>Microsoft Office Word</Application>
  <DocSecurity>0</DocSecurity>
  <Lines>36</Lines>
  <Paragraphs>10</Paragraphs>
  <ScaleCrop>false</ScaleCrop>
  <Company>УО администрации Богучанского района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4</cp:revision>
  <dcterms:created xsi:type="dcterms:W3CDTF">2016-05-19T05:34:00Z</dcterms:created>
  <dcterms:modified xsi:type="dcterms:W3CDTF">2016-05-19T08:30:00Z</dcterms:modified>
</cp:coreProperties>
</file>